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56" w:rsidRDefault="00944B53" w:rsidP="00AF7A56">
      <w:pPr>
        <w:pStyle w:val="NCEACPHeading1"/>
      </w:pPr>
      <w:bookmarkStart w:id="0" w:name="_GoBack"/>
      <w:bookmarkEnd w:id="0"/>
      <w:r>
        <w:rPr>
          <w:noProof/>
        </w:rPr>
        <w:pict w14:anchorId="39F96CFB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left:0;text-align:left;margin-left:389.05pt;margin-top:-55.1pt;width:94.4pt;height:64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" filled="f" stroked="f">
            <v:textbox inset=",7.2pt,,7.2pt">
              <w:txbxContent>
                <w:p w:rsidR="008C15DD" w:rsidRPr="00BB00E1" w:rsidRDefault="008C15DD" w:rsidP="00AF7A5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B00E1">
                    <w:rPr>
                      <w:rFonts w:ascii="Arial" w:hAnsi="Arial" w:cs="Arial"/>
                      <w:sz w:val="32"/>
                      <w:szCs w:val="32"/>
                    </w:rPr>
                    <w:t>NZQA Approved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GB" w:eastAsia="en-GB" w:bidi="ks-Dev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.65pt;margin-top:1.25pt;width:368.8pt;height:80pt;z-index:1;mso-wrap-edited:f;mso-width-percent:0;mso-height-percent:0;mso-width-percent:0;mso-height-percent:0" fillcolor="window">
            <v:imagedata r:id="rId7" o:title=""/>
          </v:shape>
          <o:OLEObject Type="Embed" ProgID="Word.Picture.8" ShapeID="_x0000_s1026" DrawAspect="Content" ObjectID="_1636547627" r:id="rId8"/>
        </w:object>
      </w:r>
    </w:p>
    <w:p w:rsidR="00AF7A56" w:rsidRDefault="00AF7A56" w:rsidP="00AF7A56">
      <w:pPr>
        <w:pStyle w:val="NCEACPHeading1"/>
      </w:pPr>
    </w:p>
    <w:p w:rsidR="00AF7A56" w:rsidRDefault="00AF7A56" w:rsidP="00AF7A56">
      <w:pPr>
        <w:pStyle w:val="NCEACPHeading1"/>
      </w:pPr>
    </w:p>
    <w:p w:rsidR="00AF7A56" w:rsidRDefault="00AF7A56" w:rsidP="00AF7A56">
      <w:pPr>
        <w:pStyle w:val="NCEACPHeading1"/>
      </w:pPr>
      <w:r>
        <w:t>Internal Assessment Resource</w:t>
      </w:r>
    </w:p>
    <w:p w:rsidR="00AF7A56" w:rsidRDefault="00AF7A56" w:rsidP="00AF7A56">
      <w:pPr>
        <w:pStyle w:val="NCEACPHeading1"/>
      </w:pPr>
      <w:r>
        <w:t>Chemistry Level 3</w:t>
      </w:r>
    </w:p>
    <w:p w:rsidR="00AF7A56" w:rsidRPr="00ED634A" w:rsidRDefault="00AF7A56" w:rsidP="00AF7A56">
      <w:pPr>
        <w:pStyle w:val="NCEACPHeading1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AF7A56" w:rsidTr="003D5899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F7A56" w:rsidRDefault="00AF7A56" w:rsidP="003D5899">
            <w:pPr>
              <w:pStyle w:val="NCEACPbodytextcentered"/>
            </w:pPr>
            <w:r>
              <w:t>This resource supports assessment against:</w:t>
            </w:r>
          </w:p>
          <w:p w:rsidR="00AF7A56" w:rsidRDefault="008C1AEA" w:rsidP="003D5899">
            <w:pPr>
              <w:pStyle w:val="NCEACPbodytext2"/>
            </w:pPr>
            <w:r>
              <w:t>Achievement Standard 91387</w:t>
            </w:r>
          </w:p>
          <w:p w:rsidR="00AF7A56" w:rsidRPr="00AF7A56" w:rsidRDefault="00AF7A56" w:rsidP="003D5899">
            <w:pPr>
              <w:pStyle w:val="NCEACPbodytext2"/>
            </w:pPr>
            <w:r w:rsidRPr="00AF7A56">
              <w:rPr>
                <w:lang w:val="en-GB"/>
              </w:rPr>
              <w:t>Carry out an investigation in chemistry involving quantitative analysis</w:t>
            </w:r>
          </w:p>
        </w:tc>
      </w:tr>
      <w:tr w:rsidR="00AF7A56" w:rsidRPr="00E126CC" w:rsidTr="003D5899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F7A56" w:rsidRPr="00E126CC" w:rsidRDefault="00AF7A56" w:rsidP="003D5899">
            <w:pPr>
              <w:pStyle w:val="NCEACPbodytext2bold"/>
            </w:pPr>
            <w:r w:rsidRPr="00E126CC">
              <w:t xml:space="preserve">Resource title: </w:t>
            </w:r>
            <w:r w:rsidRPr="00AF7A56">
              <w:rPr>
                <w:lang w:val="en-GB"/>
              </w:rPr>
              <w:t>How stable is your aspirin?</w:t>
            </w:r>
          </w:p>
        </w:tc>
      </w:tr>
      <w:tr w:rsidR="00AF7A56" w:rsidTr="003D5899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F7A56" w:rsidRDefault="00AF7A56" w:rsidP="003D5899">
            <w:pPr>
              <w:pStyle w:val="NCEACPbodytext2"/>
            </w:pPr>
            <w:r>
              <w:t>4 credits</w:t>
            </w:r>
          </w:p>
        </w:tc>
      </w:tr>
      <w:tr w:rsidR="00AF7A56" w:rsidTr="003D5899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AF7A56" w:rsidRPr="00E16CDD" w:rsidRDefault="00AF7A56" w:rsidP="003D5899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E16CDD">
              <w:rPr>
                <w:rFonts w:cs="Arial"/>
                <w:lang w:val="en-US"/>
              </w:rPr>
              <w:t>This resource:</w:t>
            </w:r>
          </w:p>
          <w:p w:rsidR="00AF7A56" w:rsidRPr="00E16CDD" w:rsidRDefault="00AF7A56" w:rsidP="00AF7A5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E16CDD">
              <w:rPr>
                <w:rFonts w:cs="Arial"/>
                <w:lang w:val="en-US"/>
              </w:rPr>
              <w:t>Cla</w:t>
            </w:r>
            <w:r w:rsidR="003F3FCE" w:rsidRPr="00E16CDD">
              <w:rPr>
                <w:rFonts w:cs="Arial"/>
                <w:lang w:val="en-US"/>
              </w:rPr>
              <w:t xml:space="preserve">rifies the requirements of the </w:t>
            </w:r>
            <w:r w:rsidR="004B09D3" w:rsidRPr="00E16CDD">
              <w:rPr>
                <w:rFonts w:cs="Arial"/>
                <w:lang w:val="en-US"/>
              </w:rPr>
              <w:t>s</w:t>
            </w:r>
            <w:r w:rsidRPr="00E16CDD">
              <w:rPr>
                <w:rFonts w:cs="Arial"/>
                <w:lang w:val="en-US"/>
              </w:rPr>
              <w:t>tandard</w:t>
            </w:r>
          </w:p>
          <w:p w:rsidR="00AF7A56" w:rsidRPr="00E16CDD" w:rsidRDefault="00AF7A56" w:rsidP="00AF7A5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E16CDD">
              <w:rPr>
                <w:rFonts w:cs="Arial"/>
                <w:lang w:val="en-US"/>
              </w:rPr>
              <w:t>Supports good assessment practice</w:t>
            </w:r>
          </w:p>
          <w:p w:rsidR="00AF7A56" w:rsidRPr="00E16CDD" w:rsidRDefault="00AF7A56" w:rsidP="00AF7A5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E16CDD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:rsidR="00AF7A56" w:rsidRPr="00E16CDD" w:rsidRDefault="00AF7A56" w:rsidP="00AF7A5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E16CDD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AF7A56" w:rsidRDefault="00AF7A56" w:rsidP="00AF7A56"/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AF7A56" w:rsidTr="003D5899">
        <w:tc>
          <w:tcPr>
            <w:tcW w:w="1615" w:type="pct"/>
            <w:shd w:val="clear" w:color="auto" w:fill="auto"/>
          </w:tcPr>
          <w:p w:rsidR="00AF7A56" w:rsidRDefault="00AF7A56" w:rsidP="008C15DD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AF7A56" w:rsidRPr="00982501" w:rsidRDefault="00C92FEE" w:rsidP="003D5899">
            <w:pPr>
              <w:pStyle w:val="NCEACPbodytextcentered"/>
              <w:jc w:val="left"/>
            </w:pPr>
            <w:r>
              <w:t>February 2017 Version 2</w:t>
            </w:r>
          </w:p>
          <w:p w:rsidR="00AF7A56" w:rsidRDefault="00AF7A56" w:rsidP="003D5899">
            <w:pPr>
              <w:pStyle w:val="NCEACPbodytextcentered"/>
              <w:jc w:val="left"/>
            </w:pPr>
            <w:r w:rsidRPr="00982501">
              <w:t>To support internal assessment from 201</w:t>
            </w:r>
            <w:r w:rsidR="00C92FEE">
              <w:t>7</w:t>
            </w:r>
          </w:p>
        </w:tc>
      </w:tr>
      <w:tr w:rsidR="00AF7A56" w:rsidTr="003D5899">
        <w:trPr>
          <w:trHeight w:val="317"/>
        </w:trPr>
        <w:tc>
          <w:tcPr>
            <w:tcW w:w="1615" w:type="pct"/>
            <w:shd w:val="clear" w:color="auto" w:fill="auto"/>
          </w:tcPr>
          <w:p w:rsidR="00AF7A56" w:rsidRDefault="00AF7A56" w:rsidP="003D5899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4B09D3" w:rsidRDefault="00AF7A56" w:rsidP="009F2B22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</w:t>
            </w:r>
          </w:p>
          <w:p w:rsidR="00AF7A56" w:rsidRPr="00982501" w:rsidRDefault="00AF7A56" w:rsidP="009F2B22">
            <w:pPr>
              <w:pStyle w:val="NCEACPbodytextleft"/>
              <w:rPr>
                <w:lang w:val="en-GB"/>
              </w:rPr>
            </w:pPr>
            <w:r>
              <w:rPr>
                <w:lang w:val="en-GB"/>
              </w:rPr>
              <w:t>NZQA Approved n</w:t>
            </w:r>
            <w:r w:rsidRPr="008104A0">
              <w:rPr>
                <w:lang w:val="en-GB"/>
              </w:rPr>
              <w:t>umber</w:t>
            </w:r>
            <w:r w:rsidR="00E628FA">
              <w:rPr>
                <w:lang w:val="en-GB"/>
              </w:rPr>
              <w:t>:</w:t>
            </w:r>
            <w:r w:rsidRPr="008104A0">
              <w:rPr>
                <w:lang w:val="en-GB"/>
              </w:rPr>
              <w:t xml:space="preserve"> </w:t>
            </w:r>
            <w:r w:rsidR="009F2B22" w:rsidRPr="009F2B22">
              <w:rPr>
                <w:lang w:val="en-GB"/>
              </w:rPr>
              <w:t>A</w:t>
            </w:r>
            <w:r w:rsidR="009F2B22">
              <w:rPr>
                <w:lang w:val="en-GB"/>
              </w:rPr>
              <w:t>-</w:t>
            </w:r>
            <w:r w:rsidR="009F2B22" w:rsidRPr="009F2B22">
              <w:rPr>
                <w:lang w:val="en-GB"/>
              </w:rPr>
              <w:t>A</w:t>
            </w:r>
            <w:r w:rsidR="009F2B22">
              <w:rPr>
                <w:lang w:val="en-GB"/>
              </w:rPr>
              <w:t>-</w:t>
            </w:r>
            <w:r w:rsidR="00E628FA">
              <w:rPr>
                <w:lang w:val="en-GB"/>
              </w:rPr>
              <w:t>02</w:t>
            </w:r>
            <w:r w:rsidR="009F2B22">
              <w:rPr>
                <w:lang w:val="en-GB"/>
              </w:rPr>
              <w:t>-</w:t>
            </w:r>
            <w:r w:rsidR="00E628FA">
              <w:rPr>
                <w:lang w:val="en-GB"/>
              </w:rPr>
              <w:t>2017</w:t>
            </w:r>
            <w:r w:rsidR="009F2B22">
              <w:rPr>
                <w:lang w:val="en-GB"/>
              </w:rPr>
              <w:t>-</w:t>
            </w:r>
            <w:r w:rsidR="009F2B22" w:rsidRPr="009F2B22">
              <w:rPr>
                <w:lang w:val="en-GB"/>
              </w:rPr>
              <w:t>91387</w:t>
            </w:r>
            <w:r w:rsidR="009F2B22">
              <w:rPr>
                <w:lang w:val="en-GB"/>
              </w:rPr>
              <w:t>-</w:t>
            </w:r>
            <w:r w:rsidR="009F2B22" w:rsidRPr="009F2B22">
              <w:rPr>
                <w:lang w:val="en-GB"/>
              </w:rPr>
              <w:t>0</w:t>
            </w:r>
            <w:r w:rsidR="00E628FA">
              <w:rPr>
                <w:lang w:val="en-GB"/>
              </w:rPr>
              <w:t>2</w:t>
            </w:r>
            <w:r w:rsidR="009F2B22">
              <w:rPr>
                <w:lang w:val="en-GB"/>
              </w:rPr>
              <w:t>-</w:t>
            </w:r>
            <w:r w:rsidR="00E628FA">
              <w:rPr>
                <w:lang w:val="en-GB"/>
              </w:rPr>
              <w:t>6370</w:t>
            </w:r>
          </w:p>
        </w:tc>
      </w:tr>
      <w:tr w:rsidR="00AF7A56" w:rsidTr="003D5899">
        <w:tc>
          <w:tcPr>
            <w:tcW w:w="1615" w:type="pct"/>
            <w:shd w:val="clear" w:color="auto" w:fill="auto"/>
          </w:tcPr>
          <w:p w:rsidR="00AF7A56" w:rsidRDefault="00AF7A56" w:rsidP="003D5899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AF7A56" w:rsidRDefault="00AF7A56" w:rsidP="003D5899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:rsidR="00AF7A56" w:rsidRDefault="00AF7A56" w:rsidP="008C15DD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4D7273" w:rsidRPr="00AF7A56" w:rsidRDefault="004D7273" w:rsidP="004D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AF7A56">
        <w:rPr>
          <w:rFonts w:ascii="Arial" w:hAnsi="Arial" w:cs="Arial"/>
          <w:b/>
          <w:sz w:val="32"/>
        </w:rPr>
        <w:lastRenderedPageBreak/>
        <w:t>Internal Assessment Resource</w:t>
      </w:r>
    </w:p>
    <w:p w:rsidR="004D7273" w:rsidRPr="00005337" w:rsidRDefault="00AF7A56" w:rsidP="004D7273">
      <w:pPr>
        <w:pStyle w:val="NCEAHeadInfoL2"/>
        <w:rPr>
          <w:b w:val="0"/>
          <w:szCs w:val="28"/>
          <w:lang w:val="en-GB"/>
        </w:rPr>
      </w:pPr>
      <w:r>
        <w:rPr>
          <w:lang w:val="en-GB"/>
        </w:rPr>
        <w:t>Achievement S</w:t>
      </w:r>
      <w:r w:rsidR="004D7273" w:rsidRPr="00255A89">
        <w:rPr>
          <w:lang w:val="en-GB"/>
        </w:rPr>
        <w:t>tandard Chemistr</w:t>
      </w:r>
      <w:r w:rsidR="008C1AEA">
        <w:rPr>
          <w:lang w:val="en-GB"/>
        </w:rPr>
        <w:t>y 91387</w:t>
      </w:r>
      <w:r w:rsidR="004D7273">
        <w:rPr>
          <w:lang w:val="en-GB"/>
        </w:rPr>
        <w:t>:</w:t>
      </w:r>
      <w:r w:rsidR="004D7273" w:rsidRPr="00255A89">
        <w:rPr>
          <w:lang w:val="en-GB"/>
        </w:rPr>
        <w:t xml:space="preserve"> </w:t>
      </w:r>
      <w:r w:rsidR="004D7273" w:rsidRPr="00005337">
        <w:rPr>
          <w:b w:val="0"/>
          <w:lang w:val="en-GB"/>
        </w:rPr>
        <w:t>Carry out an investigation in chemistry involving quantitative analysis</w:t>
      </w:r>
    </w:p>
    <w:p w:rsidR="004D7273" w:rsidRPr="00005337" w:rsidRDefault="004D7273" w:rsidP="004D7273">
      <w:pPr>
        <w:pStyle w:val="NCEAHeadInfoL2"/>
        <w:rPr>
          <w:b w:val="0"/>
          <w:lang w:val="en-GB"/>
        </w:rPr>
      </w:pPr>
      <w:r w:rsidRPr="00255A89">
        <w:rPr>
          <w:szCs w:val="28"/>
          <w:lang w:val="en-GB"/>
        </w:rPr>
        <w:t xml:space="preserve">Resource reference: </w:t>
      </w:r>
      <w:r w:rsidRPr="00005337">
        <w:rPr>
          <w:b w:val="0"/>
          <w:lang w:val="en-GB"/>
        </w:rPr>
        <w:t>Chemistry 3.1B</w:t>
      </w:r>
      <w:r w:rsidR="00661258">
        <w:rPr>
          <w:b w:val="0"/>
          <w:lang w:val="en-GB"/>
        </w:rPr>
        <w:t xml:space="preserve"> v2</w:t>
      </w:r>
    </w:p>
    <w:p w:rsidR="004D7273" w:rsidRPr="00005337" w:rsidRDefault="004D7273" w:rsidP="004D7273">
      <w:pPr>
        <w:pStyle w:val="NCEAHeadInfoL2"/>
        <w:rPr>
          <w:b w:val="0"/>
          <w:i/>
          <w:lang w:val="en-GB"/>
        </w:rPr>
      </w:pPr>
      <w:r w:rsidRPr="00255A89">
        <w:rPr>
          <w:lang w:val="en-GB"/>
        </w:rPr>
        <w:t xml:space="preserve">Resource title: </w:t>
      </w:r>
      <w:r w:rsidRPr="00005337">
        <w:rPr>
          <w:b w:val="0"/>
          <w:lang w:val="en-GB"/>
        </w:rPr>
        <w:t>How stable is your aspirin?</w:t>
      </w:r>
    </w:p>
    <w:p w:rsidR="004D7273" w:rsidRPr="00005337" w:rsidRDefault="004D7273" w:rsidP="004D7273">
      <w:pPr>
        <w:pStyle w:val="NCEAHeadInfoL2"/>
        <w:rPr>
          <w:b w:val="0"/>
          <w:lang w:val="en-GB"/>
        </w:rPr>
      </w:pPr>
      <w:r w:rsidRPr="00255A89">
        <w:rPr>
          <w:lang w:val="en-GB"/>
        </w:rPr>
        <w:t xml:space="preserve">Credits: </w:t>
      </w:r>
      <w:r w:rsidRPr="00005337">
        <w:rPr>
          <w:b w:val="0"/>
          <w:lang w:val="en-GB"/>
        </w:rPr>
        <w:t>4</w:t>
      </w:r>
    </w:p>
    <w:p w:rsidR="004D7273" w:rsidRPr="00255A89" w:rsidRDefault="004D7273" w:rsidP="004D7273">
      <w:pPr>
        <w:pStyle w:val="NCEAInstructionsbanner"/>
        <w:rPr>
          <w:lang w:val="en-GB"/>
        </w:rPr>
      </w:pPr>
      <w:r w:rsidRPr="00255A89">
        <w:rPr>
          <w:lang w:val="en-GB"/>
        </w:rPr>
        <w:t>Teacher guidelines</w:t>
      </w:r>
    </w:p>
    <w:p w:rsidR="004D7273" w:rsidRPr="00255A89" w:rsidRDefault="004D7273" w:rsidP="004D7273">
      <w:pPr>
        <w:pStyle w:val="NCEAbodytext"/>
        <w:rPr>
          <w:lang w:val="en-GB"/>
        </w:rPr>
      </w:pPr>
      <w:r w:rsidRPr="00255A89">
        <w:rPr>
          <w:lang w:val="en-GB"/>
        </w:rPr>
        <w:t>The following guidelines are supplied to enable teachers to carry out valid and consistent assessment using this internal assessment resource.</w:t>
      </w:r>
    </w:p>
    <w:p w:rsidR="004D7273" w:rsidRPr="00255A89" w:rsidRDefault="004D7273" w:rsidP="004D7273">
      <w:pPr>
        <w:pStyle w:val="NCEAbodytext"/>
        <w:rPr>
          <w:color w:val="FF0000"/>
          <w:lang w:val="en-GB"/>
        </w:rPr>
      </w:pPr>
      <w:r w:rsidRPr="00255A89">
        <w:rPr>
          <w:lang w:val="en-GB"/>
        </w:rPr>
        <w:t>Teachers need to be very familiar with the outcome being assessed by Ac</w:t>
      </w:r>
      <w:r w:rsidR="008C1AEA">
        <w:rPr>
          <w:lang w:val="en-GB"/>
        </w:rPr>
        <w:t>hievement Standard Chemistry 91387</w:t>
      </w:r>
      <w:r w:rsidRPr="00255A89">
        <w:rPr>
          <w:lang w:val="en-GB"/>
        </w:rPr>
        <w:t>.</w:t>
      </w:r>
      <w:r w:rsidRPr="00255A89">
        <w:rPr>
          <w:color w:val="FF0000"/>
          <w:lang w:val="en-GB"/>
        </w:rPr>
        <w:t xml:space="preserve"> </w:t>
      </w:r>
      <w:r w:rsidRPr="00255A89">
        <w:rPr>
          <w:lang w:val="en-GB"/>
        </w:rPr>
        <w:t>The achievement criteria and the explanatory notes contain information, definitions, and requirements that are</w:t>
      </w:r>
      <w:r w:rsidR="003F3FCE">
        <w:rPr>
          <w:lang w:val="en-GB"/>
        </w:rPr>
        <w:t xml:space="preserve"> crucial when interpreting the S</w:t>
      </w:r>
      <w:r w:rsidRPr="00255A89">
        <w:rPr>
          <w:lang w:val="en-GB"/>
        </w:rPr>
        <w:t xml:space="preserve">tandard and assessing students against it. </w:t>
      </w:r>
    </w:p>
    <w:p w:rsidR="004D7273" w:rsidRPr="00255A89" w:rsidRDefault="004D7273" w:rsidP="004D7273">
      <w:pPr>
        <w:pStyle w:val="NCEAL2heading"/>
        <w:rPr>
          <w:lang w:val="en-GB"/>
        </w:rPr>
      </w:pPr>
      <w:r w:rsidRPr="00255A89">
        <w:rPr>
          <w:lang w:val="en-GB"/>
        </w:rPr>
        <w:t xml:space="preserve">Context/setting </w:t>
      </w:r>
    </w:p>
    <w:p w:rsidR="004D7273" w:rsidRDefault="004D7273" w:rsidP="004D7273">
      <w:pPr>
        <w:pStyle w:val="NCEAbodytext"/>
        <w:rPr>
          <w:lang w:val="en-GB"/>
        </w:rPr>
      </w:pPr>
      <w:r w:rsidRPr="00255A89">
        <w:rPr>
          <w:lang w:val="en-GB"/>
        </w:rPr>
        <w:t xml:space="preserve">This activity requires students to investigate the hydrolysis of aspirin to salicylic acid under different conditions. </w:t>
      </w:r>
    </w:p>
    <w:p w:rsidR="004D7273" w:rsidRDefault="004D7273" w:rsidP="004D7273">
      <w:pPr>
        <w:pStyle w:val="NCEAbodytext"/>
        <w:rPr>
          <w:lang w:val="en-GB"/>
        </w:rPr>
      </w:pPr>
      <w:r>
        <w:rPr>
          <w:lang w:val="en-GB"/>
        </w:rPr>
        <w:t>Students</w:t>
      </w:r>
      <w:r w:rsidRPr="00255A89">
        <w:rPr>
          <w:lang w:val="en-GB"/>
        </w:rPr>
        <w:t xml:space="preserve"> may plan and carry out the investigation in groups</w:t>
      </w:r>
      <w:r>
        <w:rPr>
          <w:lang w:val="en-GB"/>
        </w:rPr>
        <w:t>, but</w:t>
      </w:r>
      <w:r w:rsidRPr="00255A89">
        <w:rPr>
          <w:lang w:val="en-GB"/>
        </w:rPr>
        <w:t xml:space="preserve"> each </w:t>
      </w:r>
      <w:r>
        <w:rPr>
          <w:lang w:val="en-GB"/>
        </w:rPr>
        <w:t>student must</w:t>
      </w:r>
      <w:r w:rsidRPr="00255A89">
        <w:rPr>
          <w:lang w:val="en-GB"/>
        </w:rPr>
        <w:t xml:space="preserve"> collect data for at least one independent variable. </w:t>
      </w:r>
      <w:r>
        <w:rPr>
          <w:lang w:val="en-GB"/>
        </w:rPr>
        <w:t>Students may also carry out the whole investigation individually.</w:t>
      </w:r>
    </w:p>
    <w:p w:rsidR="004D7273" w:rsidRPr="008D20DC" w:rsidRDefault="004D7273" w:rsidP="004D7273">
      <w:pPr>
        <w:pStyle w:val="NCEAbodytext"/>
        <w:rPr>
          <w:lang w:val="en-GB"/>
        </w:rPr>
      </w:pPr>
      <w:r>
        <w:rPr>
          <w:lang w:val="en-GB"/>
        </w:rPr>
        <w:t xml:space="preserve">Students </w:t>
      </w:r>
      <w:r w:rsidRPr="008D20DC">
        <w:rPr>
          <w:lang w:val="en-GB"/>
        </w:rPr>
        <w:t xml:space="preserve">keep a logbook, process the group data, and write </w:t>
      </w:r>
      <w:r>
        <w:rPr>
          <w:lang w:val="en-GB"/>
        </w:rPr>
        <w:t>their</w:t>
      </w:r>
      <w:r w:rsidRPr="008D20DC">
        <w:rPr>
          <w:lang w:val="en-GB"/>
        </w:rPr>
        <w:t xml:space="preserve"> report</w:t>
      </w:r>
      <w:r>
        <w:rPr>
          <w:lang w:val="en-GB"/>
        </w:rPr>
        <w:t xml:space="preserve"> individually</w:t>
      </w:r>
      <w:r w:rsidRPr="008D20DC">
        <w:rPr>
          <w:lang w:val="en-GB"/>
        </w:rPr>
        <w:t>.</w:t>
      </w:r>
    </w:p>
    <w:p w:rsidR="004D7273" w:rsidRPr="00255A89" w:rsidRDefault="004D7273" w:rsidP="004D7273">
      <w:pPr>
        <w:pStyle w:val="NCEAbodytext"/>
        <w:rPr>
          <w:lang w:val="en-GB"/>
        </w:rPr>
      </w:pPr>
      <w:r w:rsidRPr="00255A89">
        <w:rPr>
          <w:lang w:val="en-GB"/>
        </w:rPr>
        <w:t>If temperature is the independent variable, students need to dissolve the aspirin in water before heating it</w:t>
      </w:r>
      <w:r w:rsidR="008C3E21">
        <w:rPr>
          <w:lang w:val="en-GB"/>
        </w:rPr>
        <w:t xml:space="preserve"> so that hydrolysis can occur.</w:t>
      </w:r>
    </w:p>
    <w:p w:rsidR="0091792B" w:rsidRDefault="004D7273" w:rsidP="004D7273">
      <w:pPr>
        <w:pStyle w:val="NCEAL2heading"/>
        <w:rPr>
          <w:lang w:val="en-GB"/>
        </w:rPr>
      </w:pPr>
      <w:r w:rsidRPr="00255A89">
        <w:rPr>
          <w:lang w:val="en-GB"/>
        </w:rPr>
        <w:t>Conditions</w:t>
      </w:r>
    </w:p>
    <w:p w:rsidR="004D7273" w:rsidRPr="0091792B" w:rsidRDefault="0091792B" w:rsidP="004D7273">
      <w:pPr>
        <w:pStyle w:val="NCEAL2heading"/>
        <w:rPr>
          <w:lang w:val="en-GB"/>
        </w:rPr>
      </w:pPr>
      <w:r>
        <w:rPr>
          <w:b w:val="0"/>
          <w:sz w:val="22"/>
          <w:szCs w:val="22"/>
          <w:lang w:val="en-GB"/>
        </w:rPr>
        <w:t>Please refer to the con</w:t>
      </w:r>
      <w:r w:rsidR="003F3FCE">
        <w:rPr>
          <w:b w:val="0"/>
          <w:sz w:val="22"/>
          <w:szCs w:val="22"/>
          <w:lang w:val="en-GB"/>
        </w:rPr>
        <w:t xml:space="preserve">ditions of assessment for this </w:t>
      </w:r>
      <w:r w:rsidR="00C7757D">
        <w:rPr>
          <w:b w:val="0"/>
          <w:sz w:val="22"/>
          <w:szCs w:val="22"/>
          <w:lang w:val="en-GB"/>
        </w:rPr>
        <w:t>s</w:t>
      </w:r>
      <w:r>
        <w:rPr>
          <w:b w:val="0"/>
          <w:sz w:val="22"/>
          <w:szCs w:val="22"/>
          <w:lang w:val="en-GB"/>
        </w:rPr>
        <w:t>tandard</w:t>
      </w:r>
      <w:r w:rsidR="00D41AA1">
        <w:rPr>
          <w:b w:val="0"/>
          <w:sz w:val="22"/>
          <w:szCs w:val="22"/>
          <w:lang w:val="en-GB"/>
        </w:rPr>
        <w:t>.</w:t>
      </w:r>
    </w:p>
    <w:p w:rsidR="004D7273" w:rsidRPr="00255A89" w:rsidRDefault="004D7273" w:rsidP="004D7273">
      <w:pPr>
        <w:pStyle w:val="NCEAbodytext"/>
      </w:pPr>
      <w:r>
        <w:t>S</w:t>
      </w:r>
      <w:r w:rsidRPr="00255A89">
        <w:t>tudents must be given sufficient time to show their understanding.</w:t>
      </w:r>
    </w:p>
    <w:p w:rsidR="004D7273" w:rsidRPr="00255A89" w:rsidRDefault="004D7273" w:rsidP="004D7273">
      <w:pPr>
        <w:pStyle w:val="NCEAbodytext"/>
      </w:pPr>
      <w:r w:rsidRPr="00255A89">
        <w:t xml:space="preserve">Ensure that students follow standard laboratory safety procedures as outlined in </w:t>
      </w:r>
      <w:r w:rsidRPr="0002080D">
        <w:rPr>
          <w:i/>
        </w:rPr>
        <w:t xml:space="preserve">Safety and </w:t>
      </w:r>
      <w:r>
        <w:rPr>
          <w:i/>
        </w:rPr>
        <w:t>S</w:t>
      </w:r>
      <w:r w:rsidRPr="0002080D">
        <w:rPr>
          <w:i/>
        </w:rPr>
        <w:t>cience</w:t>
      </w:r>
      <w:r>
        <w:rPr>
          <w:i/>
        </w:rPr>
        <w:t>:</w:t>
      </w:r>
      <w:r w:rsidRPr="0002080D">
        <w:rPr>
          <w:i/>
        </w:rPr>
        <w:t xml:space="preserve"> </w:t>
      </w:r>
      <w:r>
        <w:rPr>
          <w:i/>
        </w:rPr>
        <w:t>A Guidance M</w:t>
      </w:r>
      <w:r w:rsidRPr="0002080D">
        <w:rPr>
          <w:i/>
        </w:rPr>
        <w:t xml:space="preserve">anual for New Zealand </w:t>
      </w:r>
      <w:r>
        <w:rPr>
          <w:i/>
        </w:rPr>
        <w:t>S</w:t>
      </w:r>
      <w:r w:rsidRPr="0002080D">
        <w:rPr>
          <w:i/>
        </w:rPr>
        <w:t>chools</w:t>
      </w:r>
      <w:r w:rsidRPr="00255A89">
        <w:t xml:space="preserve">. </w:t>
      </w:r>
    </w:p>
    <w:p w:rsidR="00333634" w:rsidRDefault="004D7273" w:rsidP="004D7273">
      <w:pPr>
        <w:pStyle w:val="NCEAbodytext"/>
      </w:pPr>
      <w:r>
        <w:t>Provide students</w:t>
      </w:r>
      <w:r w:rsidRPr="00255A89">
        <w:t xml:space="preserve"> with instructions </w:t>
      </w:r>
      <w:r>
        <w:t xml:space="preserve">on </w:t>
      </w:r>
      <w:r w:rsidRPr="00255A89">
        <w:t>how to use the c</w:t>
      </w:r>
      <w:r w:rsidR="00205AF5">
        <w:t>o</w:t>
      </w:r>
      <w:r w:rsidRPr="00255A89">
        <w:t>lorimeter</w:t>
      </w:r>
      <w:r>
        <w:t>.</w:t>
      </w:r>
    </w:p>
    <w:p w:rsidR="004D7273" w:rsidRPr="00255A89" w:rsidRDefault="004D7273" w:rsidP="004D7273">
      <w:pPr>
        <w:pStyle w:val="NCEAL2heading"/>
        <w:keepNext w:val="0"/>
        <w:rPr>
          <w:lang w:val="en-GB"/>
        </w:rPr>
      </w:pPr>
      <w:r w:rsidRPr="00255A89">
        <w:rPr>
          <w:lang w:val="en-GB"/>
        </w:rPr>
        <w:t xml:space="preserve">Resource requirements </w:t>
      </w:r>
    </w:p>
    <w:p w:rsidR="004D7273" w:rsidRPr="00255A89" w:rsidRDefault="00D41AA1" w:rsidP="00D41AA1">
      <w:pPr>
        <w:pStyle w:val="NCEAbodytext"/>
        <w:numPr>
          <w:ilvl w:val="0"/>
          <w:numId w:val="41"/>
        </w:numPr>
        <w:tabs>
          <w:tab w:val="left" w:pos="567"/>
        </w:tabs>
        <w:spacing w:before="0" w:after="0"/>
        <w:ind w:hanging="720"/>
      </w:pPr>
      <w:r>
        <w:t>c</w:t>
      </w:r>
      <w:r w:rsidR="004D7273">
        <w:t>o</w:t>
      </w:r>
      <w:r w:rsidR="004D7273" w:rsidRPr="00255A89">
        <w:t>lorimeter</w:t>
      </w:r>
      <w:r w:rsidR="004D7273">
        <w:t xml:space="preserve"> (with instructions)</w:t>
      </w:r>
    </w:p>
    <w:p w:rsidR="004D7273" w:rsidRPr="00255A89" w:rsidRDefault="00D41AA1" w:rsidP="00D41AA1">
      <w:pPr>
        <w:pStyle w:val="NCEAbodytext"/>
        <w:numPr>
          <w:ilvl w:val="0"/>
          <w:numId w:val="41"/>
        </w:numPr>
        <w:tabs>
          <w:tab w:val="left" w:pos="567"/>
        </w:tabs>
        <w:spacing w:before="0" w:after="0"/>
        <w:ind w:hanging="720"/>
      </w:pPr>
      <w:r>
        <w:t>s</w:t>
      </w:r>
      <w:r w:rsidR="004D7273" w:rsidRPr="00255A89">
        <w:t>olid salicylic acid</w:t>
      </w:r>
    </w:p>
    <w:p w:rsidR="004D7273" w:rsidRPr="00255A89" w:rsidRDefault="004D7273" w:rsidP="00D41AA1">
      <w:pPr>
        <w:pStyle w:val="NCEAbodytext"/>
        <w:numPr>
          <w:ilvl w:val="0"/>
          <w:numId w:val="41"/>
        </w:numPr>
        <w:tabs>
          <w:tab w:val="left" w:pos="567"/>
        </w:tabs>
        <w:spacing w:before="0" w:after="0"/>
        <w:ind w:hanging="720"/>
      </w:pPr>
      <w:r w:rsidRPr="00255A89">
        <w:t>95% ethanol</w:t>
      </w:r>
    </w:p>
    <w:p w:rsidR="004D7273" w:rsidRPr="002B06CF" w:rsidRDefault="004D7273" w:rsidP="00D41AA1">
      <w:pPr>
        <w:pStyle w:val="NCEAbodytext"/>
        <w:numPr>
          <w:ilvl w:val="0"/>
          <w:numId w:val="41"/>
        </w:numPr>
        <w:tabs>
          <w:tab w:val="left" w:pos="567"/>
        </w:tabs>
        <w:spacing w:before="0" w:after="0"/>
        <w:ind w:hanging="720"/>
        <w:rPr>
          <w:lang w:val="fr-FR"/>
        </w:rPr>
      </w:pPr>
      <w:r w:rsidRPr="002B06CF">
        <w:rPr>
          <w:lang w:val="fr-FR"/>
        </w:rPr>
        <w:t>.0250 mol L</w:t>
      </w:r>
      <w:r w:rsidRPr="002B06CF">
        <w:rPr>
          <w:vertAlign w:val="superscript"/>
          <w:lang w:val="fr-FR"/>
        </w:rPr>
        <w:t>-1</w:t>
      </w:r>
      <w:r w:rsidRPr="002B06CF">
        <w:rPr>
          <w:lang w:val="fr-FR"/>
        </w:rPr>
        <w:t xml:space="preserve"> Iron (III) nitrate solution</w:t>
      </w:r>
      <w:r w:rsidR="00D41AA1" w:rsidRPr="002B06CF">
        <w:rPr>
          <w:lang w:val="fr-FR"/>
        </w:rPr>
        <w:t>.</w:t>
      </w:r>
    </w:p>
    <w:p w:rsidR="004D7273" w:rsidRPr="00255A89" w:rsidRDefault="004D7273" w:rsidP="004D7273">
      <w:pPr>
        <w:pStyle w:val="NCEAL2heading"/>
        <w:rPr>
          <w:lang w:val="en-GB"/>
        </w:rPr>
      </w:pPr>
      <w:r w:rsidRPr="00255A89">
        <w:rPr>
          <w:lang w:val="en-GB"/>
        </w:rPr>
        <w:lastRenderedPageBreak/>
        <w:t>Additional information</w:t>
      </w:r>
    </w:p>
    <w:p w:rsidR="004D7273" w:rsidRPr="00255A89" w:rsidRDefault="004D7273" w:rsidP="004D7273">
      <w:pPr>
        <w:pStyle w:val="NCEAbodytext"/>
      </w:pPr>
      <w:r>
        <w:t>F</w:t>
      </w:r>
      <w:r w:rsidRPr="00255A89">
        <w:t>urther information on assessment and management issues, other practical investigation examples</w:t>
      </w:r>
      <w:r>
        <w:t>,</w:t>
      </w:r>
      <w:r w:rsidRPr="00255A89">
        <w:t xml:space="preserve"> and a question and answer archive can be found at </w:t>
      </w:r>
      <w:hyperlink r:id="rId9" w:history="1">
        <w:r w:rsidRPr="00682EBF">
          <w:rPr>
            <w:rStyle w:val="Hyperlink"/>
            <w:szCs w:val="22"/>
            <w:lang w:val="en-GB"/>
          </w:rPr>
          <w:t>www.chemteach</w:t>
        </w:r>
        <w:r w:rsidRPr="00682EBF">
          <w:rPr>
            <w:rStyle w:val="Hyperlink"/>
            <w:szCs w:val="22"/>
            <w:lang w:val="en-GB"/>
          </w:rPr>
          <w:t>.</w:t>
        </w:r>
        <w:r w:rsidRPr="00682EBF">
          <w:rPr>
            <w:rStyle w:val="Hyperlink"/>
            <w:szCs w:val="22"/>
            <w:lang w:val="en-GB"/>
          </w:rPr>
          <w:t>ac.nz</w:t>
        </w:r>
      </w:hyperlink>
    </w:p>
    <w:p w:rsidR="004D7273" w:rsidRPr="00255A89" w:rsidRDefault="004D7273" w:rsidP="00205AF5">
      <w:pPr>
        <w:pStyle w:val="NCEAbodytext"/>
        <w:rPr>
          <w:lang w:val="en-GB"/>
        </w:rPr>
        <w:sectPr w:rsidR="004D7273" w:rsidRPr="00255A89" w:rsidSect="004D7273">
          <w:headerReference w:type="default" r:id="rId10"/>
          <w:footerReference w:type="defaul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4D7273" w:rsidRPr="00BD1A62" w:rsidRDefault="004D7273" w:rsidP="004D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BD1A62">
        <w:rPr>
          <w:rFonts w:ascii="Arial" w:hAnsi="Arial" w:cs="Arial"/>
          <w:b/>
          <w:sz w:val="32"/>
        </w:rPr>
        <w:lastRenderedPageBreak/>
        <w:t>Internal Assessment Resource</w:t>
      </w:r>
    </w:p>
    <w:p w:rsidR="004D7273" w:rsidRPr="00255A89" w:rsidRDefault="00BD1A62" w:rsidP="004D7273">
      <w:pPr>
        <w:pStyle w:val="NCEAHeadInfoL2"/>
        <w:rPr>
          <w:color w:val="FF0000"/>
          <w:sz w:val="20"/>
          <w:szCs w:val="28"/>
          <w:lang w:val="en-GB"/>
        </w:rPr>
      </w:pPr>
      <w:r>
        <w:rPr>
          <w:lang w:val="en-GB"/>
        </w:rPr>
        <w:t>Achievement S</w:t>
      </w:r>
      <w:r w:rsidR="008C1AEA">
        <w:rPr>
          <w:lang w:val="en-GB"/>
        </w:rPr>
        <w:t>tandard Chemistry 91387</w:t>
      </w:r>
      <w:r w:rsidR="004D7273" w:rsidRPr="00255A89">
        <w:rPr>
          <w:lang w:val="en-GB"/>
        </w:rPr>
        <w:t xml:space="preserve">: </w:t>
      </w:r>
      <w:r w:rsidR="004D7273" w:rsidRPr="00005337">
        <w:rPr>
          <w:b w:val="0"/>
          <w:lang w:val="en-GB"/>
        </w:rPr>
        <w:t>Carry out an investigation in chemistry involving quantitative analysis</w:t>
      </w:r>
    </w:p>
    <w:p w:rsidR="004D7273" w:rsidRPr="00255A89" w:rsidRDefault="004D7273" w:rsidP="004D7273">
      <w:pPr>
        <w:pStyle w:val="NCEAHeadInfoL2"/>
        <w:rPr>
          <w:lang w:val="en-GB"/>
        </w:rPr>
      </w:pPr>
      <w:r w:rsidRPr="00255A89">
        <w:rPr>
          <w:szCs w:val="28"/>
          <w:lang w:val="en-GB"/>
        </w:rPr>
        <w:t xml:space="preserve">Resource reference: </w:t>
      </w:r>
      <w:r w:rsidRPr="00255A89">
        <w:rPr>
          <w:b w:val="0"/>
          <w:lang w:val="en-GB"/>
        </w:rPr>
        <w:t>Chemistry 3.1B</w:t>
      </w:r>
      <w:r w:rsidR="00661258">
        <w:rPr>
          <w:b w:val="0"/>
          <w:lang w:val="en-GB"/>
        </w:rPr>
        <w:t xml:space="preserve"> v2</w:t>
      </w:r>
    </w:p>
    <w:p w:rsidR="004D7273" w:rsidRPr="00255A89" w:rsidRDefault="004D7273" w:rsidP="004D7273">
      <w:pPr>
        <w:pStyle w:val="NCEAHeadInfoL2"/>
        <w:rPr>
          <w:i/>
          <w:lang w:val="en-GB"/>
        </w:rPr>
      </w:pPr>
      <w:r w:rsidRPr="00255A89">
        <w:rPr>
          <w:lang w:val="en-GB"/>
        </w:rPr>
        <w:t xml:space="preserve">Resource title: </w:t>
      </w:r>
      <w:r w:rsidRPr="00005337">
        <w:rPr>
          <w:b w:val="0"/>
          <w:lang w:val="en-GB"/>
        </w:rPr>
        <w:t>How stable is your aspirin?</w:t>
      </w:r>
    </w:p>
    <w:p w:rsidR="004D7273" w:rsidRPr="00255A89" w:rsidRDefault="004D7273" w:rsidP="004D7273">
      <w:pPr>
        <w:pStyle w:val="NCEAHeadInfoL2"/>
        <w:rPr>
          <w:lang w:val="en-GB"/>
        </w:rPr>
      </w:pPr>
      <w:r w:rsidRPr="00255A89">
        <w:rPr>
          <w:lang w:val="en-GB"/>
        </w:rPr>
        <w:t xml:space="preserve">Credits: </w:t>
      </w:r>
      <w:r w:rsidRPr="00255A89">
        <w:rPr>
          <w:b w:val="0"/>
          <w:lang w:val="en-GB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3"/>
        <w:gridCol w:w="2844"/>
        <w:gridCol w:w="2842"/>
      </w:tblGrid>
      <w:tr w:rsidR="004D7273" w:rsidRPr="00255A89">
        <w:tc>
          <w:tcPr>
            <w:tcW w:w="1667" w:type="pct"/>
            <w:shd w:val="clear" w:color="auto" w:fill="auto"/>
          </w:tcPr>
          <w:p w:rsidR="004D7273" w:rsidRPr="00255A89" w:rsidRDefault="004D7273" w:rsidP="004D7273">
            <w:pPr>
              <w:pStyle w:val="NCEAtablehead"/>
            </w:pPr>
            <w:r w:rsidRPr="00255A89">
              <w:t>Achievement</w:t>
            </w:r>
          </w:p>
        </w:tc>
        <w:tc>
          <w:tcPr>
            <w:tcW w:w="1667" w:type="pct"/>
            <w:shd w:val="clear" w:color="auto" w:fill="auto"/>
          </w:tcPr>
          <w:p w:rsidR="004D7273" w:rsidRPr="00255A89" w:rsidRDefault="004D7273" w:rsidP="004D7273">
            <w:pPr>
              <w:pStyle w:val="NCEAtablehead"/>
            </w:pPr>
            <w:r w:rsidRPr="00255A89">
              <w:t>Achievement with Merit</w:t>
            </w:r>
          </w:p>
        </w:tc>
        <w:tc>
          <w:tcPr>
            <w:tcW w:w="1667" w:type="pct"/>
            <w:shd w:val="clear" w:color="auto" w:fill="auto"/>
          </w:tcPr>
          <w:p w:rsidR="004D7273" w:rsidRPr="00255A89" w:rsidRDefault="004D7273" w:rsidP="004D7273">
            <w:pPr>
              <w:pStyle w:val="NCEAtablehead"/>
            </w:pPr>
            <w:r w:rsidRPr="00255A89">
              <w:t>Achievement with Excellence</w:t>
            </w:r>
          </w:p>
        </w:tc>
      </w:tr>
      <w:tr w:rsidR="004D7273" w:rsidRPr="00255A89">
        <w:tc>
          <w:tcPr>
            <w:tcW w:w="1667" w:type="pct"/>
            <w:shd w:val="clear" w:color="auto" w:fill="auto"/>
          </w:tcPr>
          <w:p w:rsidR="004D7273" w:rsidRPr="00255A89" w:rsidRDefault="004D7273" w:rsidP="004D7273">
            <w:pPr>
              <w:pStyle w:val="NCEAtablebody"/>
            </w:pPr>
            <w:r w:rsidRPr="00255A89">
              <w:t>Carry out an investigation in chemistry involving quantitative analysis.</w:t>
            </w:r>
          </w:p>
        </w:tc>
        <w:tc>
          <w:tcPr>
            <w:tcW w:w="1667" w:type="pct"/>
            <w:shd w:val="clear" w:color="auto" w:fill="auto"/>
          </w:tcPr>
          <w:p w:rsidR="004D7273" w:rsidRPr="00255A89" w:rsidRDefault="004D7273" w:rsidP="004D7273">
            <w:pPr>
              <w:pStyle w:val="NCEAtablebody"/>
            </w:pPr>
            <w:r w:rsidRPr="00255A89">
              <w:rPr>
                <w:rFonts w:cs="Arial"/>
                <w:lang w:val="en-GB"/>
              </w:rPr>
              <w:t>Carry out an in-depth investigation in chemistry involving quantitative analysis.</w:t>
            </w:r>
          </w:p>
        </w:tc>
        <w:tc>
          <w:tcPr>
            <w:tcW w:w="1667" w:type="pct"/>
            <w:shd w:val="clear" w:color="auto" w:fill="auto"/>
          </w:tcPr>
          <w:p w:rsidR="004D7273" w:rsidRPr="00255A89" w:rsidRDefault="004D7273" w:rsidP="004D7273">
            <w:pPr>
              <w:pStyle w:val="NCEAtablebody"/>
            </w:pPr>
            <w:r w:rsidRPr="00255A89">
              <w:rPr>
                <w:rFonts w:cs="Arial"/>
                <w:lang w:val="en-GB"/>
              </w:rPr>
              <w:t>Carry out a comprehensive investigation in chemistry involving quantitative analysis.</w:t>
            </w:r>
          </w:p>
        </w:tc>
      </w:tr>
    </w:tbl>
    <w:p w:rsidR="004D7273" w:rsidRPr="00255A89" w:rsidRDefault="004D7273" w:rsidP="004D7273">
      <w:pPr>
        <w:rPr>
          <w:rFonts w:ascii="Arial" w:hAnsi="Arial" w:cs="Arial"/>
          <w:vanish/>
        </w:rPr>
      </w:pPr>
    </w:p>
    <w:p w:rsidR="004D7273" w:rsidRPr="00255A89" w:rsidRDefault="004D7273" w:rsidP="004D7273">
      <w:pPr>
        <w:pStyle w:val="NCEAInstructionsbanner"/>
        <w:rPr>
          <w:sz w:val="32"/>
          <w:u w:val="single"/>
          <w:lang w:val="en-GB"/>
        </w:rPr>
      </w:pPr>
      <w:r w:rsidRPr="00255A89">
        <w:rPr>
          <w:lang w:val="en-GB"/>
        </w:rPr>
        <w:t xml:space="preserve">Student instructions </w:t>
      </w:r>
    </w:p>
    <w:p w:rsidR="004D7273" w:rsidRPr="00255A89" w:rsidRDefault="004D7273" w:rsidP="004D7273">
      <w:pPr>
        <w:pStyle w:val="NCEAL2heading"/>
        <w:rPr>
          <w:b w:val="0"/>
          <w:color w:val="FF0000"/>
          <w:sz w:val="24"/>
          <w:lang w:val="en-GB"/>
        </w:rPr>
      </w:pPr>
      <w:r w:rsidRPr="00255A89">
        <w:rPr>
          <w:lang w:val="en-GB"/>
        </w:rPr>
        <w:t xml:space="preserve">Introduction </w:t>
      </w:r>
    </w:p>
    <w:p w:rsidR="004D7273" w:rsidRDefault="004D7273" w:rsidP="004D7273">
      <w:pPr>
        <w:pStyle w:val="NCEAbodytext"/>
        <w:rPr>
          <w:lang w:val="en-GB"/>
        </w:rPr>
      </w:pPr>
      <w:r w:rsidRPr="00255A89">
        <w:rPr>
          <w:lang w:val="en-GB"/>
        </w:rPr>
        <w:t xml:space="preserve">This activity requires you to investigate the stability of aspirin (acetyl salicylic acid) in different conditions </w:t>
      </w:r>
      <w:r>
        <w:rPr>
          <w:lang w:val="en-GB"/>
        </w:rPr>
        <w:t>(</w:t>
      </w:r>
      <w:r w:rsidRPr="00255A89">
        <w:rPr>
          <w:lang w:val="en-GB"/>
        </w:rPr>
        <w:t xml:space="preserve">such as </w:t>
      </w:r>
      <w:r>
        <w:rPr>
          <w:lang w:val="en-GB"/>
        </w:rPr>
        <w:t xml:space="preserve">different </w:t>
      </w:r>
      <w:r w:rsidRPr="00255A89">
        <w:rPr>
          <w:lang w:val="en-GB"/>
        </w:rPr>
        <w:t>pH, temperature</w:t>
      </w:r>
      <w:r>
        <w:rPr>
          <w:lang w:val="en-GB"/>
        </w:rPr>
        <w:t>,</w:t>
      </w:r>
      <w:r w:rsidRPr="00255A89">
        <w:rPr>
          <w:lang w:val="en-GB"/>
        </w:rPr>
        <w:t xml:space="preserve"> and moisture levels</w:t>
      </w:r>
      <w:r>
        <w:rPr>
          <w:lang w:val="en-GB"/>
        </w:rPr>
        <w:t>)</w:t>
      </w:r>
      <w:r w:rsidRPr="00255A89">
        <w:rPr>
          <w:lang w:val="en-GB"/>
        </w:rPr>
        <w:t xml:space="preserve">. </w:t>
      </w:r>
      <w:r w:rsidRPr="008D20DC">
        <w:rPr>
          <w:lang w:val="en-GB"/>
        </w:rPr>
        <w:t xml:space="preserve">You </w:t>
      </w:r>
      <w:r>
        <w:rPr>
          <w:lang w:val="en-GB"/>
        </w:rPr>
        <w:t>can</w:t>
      </w:r>
      <w:r w:rsidRPr="008D20DC">
        <w:rPr>
          <w:lang w:val="en-GB"/>
        </w:rPr>
        <w:t xml:space="preserve"> plan and carry out the investigation </w:t>
      </w:r>
      <w:r>
        <w:rPr>
          <w:lang w:val="en-GB"/>
        </w:rPr>
        <w:t>as a group, but</w:t>
      </w:r>
      <w:r w:rsidRPr="008D20DC">
        <w:rPr>
          <w:lang w:val="en-GB"/>
        </w:rPr>
        <w:t xml:space="preserve"> you need to keep </w:t>
      </w:r>
      <w:r>
        <w:rPr>
          <w:lang w:val="en-GB"/>
        </w:rPr>
        <w:t>your own</w:t>
      </w:r>
      <w:r w:rsidRPr="008D20DC">
        <w:rPr>
          <w:lang w:val="en-GB"/>
        </w:rPr>
        <w:t xml:space="preserve"> logbook</w:t>
      </w:r>
      <w:r>
        <w:rPr>
          <w:lang w:val="en-GB"/>
        </w:rPr>
        <w:t xml:space="preserve"> throughout the investigation. You must </w:t>
      </w:r>
      <w:r w:rsidRPr="008D20DC">
        <w:rPr>
          <w:lang w:val="en-GB"/>
        </w:rPr>
        <w:t>process the data</w:t>
      </w:r>
      <w:r>
        <w:rPr>
          <w:lang w:val="en-GB"/>
        </w:rPr>
        <w:t xml:space="preserve"> on your own</w:t>
      </w:r>
      <w:r w:rsidRPr="008D20DC">
        <w:rPr>
          <w:lang w:val="en-GB"/>
        </w:rPr>
        <w:t xml:space="preserve"> and write a</w:t>
      </w:r>
      <w:r>
        <w:rPr>
          <w:lang w:val="en-GB"/>
        </w:rPr>
        <w:t>n individual</w:t>
      </w:r>
      <w:r w:rsidRPr="008D20DC">
        <w:rPr>
          <w:lang w:val="en-GB"/>
        </w:rPr>
        <w:t xml:space="preserve"> report</w:t>
      </w:r>
      <w:r>
        <w:rPr>
          <w:lang w:val="en-GB"/>
        </w:rPr>
        <w:t xml:space="preserve"> for submission</w:t>
      </w:r>
      <w:r w:rsidRPr="008D20DC">
        <w:rPr>
          <w:lang w:val="en-GB"/>
        </w:rPr>
        <w:t>.</w:t>
      </w:r>
    </w:p>
    <w:p w:rsidR="004D7273" w:rsidRPr="008D20DC" w:rsidRDefault="004D7273" w:rsidP="004D7273">
      <w:pPr>
        <w:pStyle w:val="NCEAbodytext"/>
        <w:rPr>
          <w:lang w:val="en-GB"/>
        </w:rPr>
      </w:pPr>
      <w:r w:rsidRPr="008D20DC">
        <w:rPr>
          <w:lang w:val="en-GB"/>
        </w:rPr>
        <w:t xml:space="preserve">You will be assessed on the </w:t>
      </w:r>
      <w:r>
        <w:rPr>
          <w:lang w:val="en-GB"/>
        </w:rPr>
        <w:t>comprehensiveness</w:t>
      </w:r>
      <w:r w:rsidR="00D41AA1">
        <w:rPr>
          <w:lang w:val="en-GB"/>
        </w:rPr>
        <w:t xml:space="preserve"> of your investigation</w:t>
      </w:r>
      <w:r w:rsidR="000D5421">
        <w:rPr>
          <w:lang w:val="en-GB"/>
        </w:rPr>
        <w:t>,</w:t>
      </w:r>
      <w:r w:rsidRPr="008D20DC">
        <w:rPr>
          <w:lang w:val="en-GB"/>
        </w:rPr>
        <w:t xml:space="preserve"> which involves:</w:t>
      </w:r>
    </w:p>
    <w:p w:rsidR="004D7273" w:rsidRPr="008D20DC" w:rsidRDefault="004D7273" w:rsidP="004D7273">
      <w:pPr>
        <w:pStyle w:val="NCEAbullets"/>
      </w:pPr>
      <w:r w:rsidRPr="008D20DC">
        <w:t>keeping a logbook</w:t>
      </w:r>
      <w:r w:rsidR="002347DA">
        <w:t xml:space="preserve"> that contains details of the development of the purpose, procedure, raw data</w:t>
      </w:r>
      <w:r w:rsidR="000D5421">
        <w:t>,</w:t>
      </w:r>
      <w:r w:rsidR="002347DA">
        <w:t xml:space="preserve"> and calculations </w:t>
      </w:r>
    </w:p>
    <w:p w:rsidR="00205AF5" w:rsidRDefault="004D7273" w:rsidP="004D7273">
      <w:pPr>
        <w:pStyle w:val="NCEAbullets"/>
      </w:pPr>
      <w:r w:rsidRPr="008D20DC">
        <w:t xml:space="preserve">developing and carrying out a procedure to collect data </w:t>
      </w:r>
    </w:p>
    <w:p w:rsidR="004D7273" w:rsidRPr="008D20DC" w:rsidRDefault="004D7273" w:rsidP="004D7273">
      <w:pPr>
        <w:pStyle w:val="NCEAbullets"/>
      </w:pPr>
      <w:r w:rsidRPr="008D20DC">
        <w:t>processing the data to reach a conclusion</w:t>
      </w:r>
    </w:p>
    <w:p w:rsidR="004D7273" w:rsidRPr="008D20DC" w:rsidRDefault="004D7273" w:rsidP="004D7273">
      <w:pPr>
        <w:pStyle w:val="NCEAbullets"/>
      </w:pPr>
      <w:r w:rsidRPr="008D20DC">
        <w:t>discussing the investigation in terms of the procedure used and the reliability of the data</w:t>
      </w:r>
    </w:p>
    <w:p w:rsidR="004D7273" w:rsidRPr="008D20DC" w:rsidRDefault="004D7273" w:rsidP="004D7273">
      <w:pPr>
        <w:pStyle w:val="NCEAbullets"/>
      </w:pPr>
      <w:r w:rsidRPr="008D20DC">
        <w:t>reporting your investigation</w:t>
      </w:r>
      <w:r>
        <w:t xml:space="preserve"> in a written report.</w:t>
      </w:r>
    </w:p>
    <w:p w:rsidR="004D7273" w:rsidRPr="008D20DC" w:rsidRDefault="008954B0" w:rsidP="004D7273">
      <w:pPr>
        <w:pStyle w:val="NCEAbodytext"/>
        <w:rPr>
          <w:lang w:val="en-GB"/>
        </w:rPr>
      </w:pPr>
      <w:r>
        <w:rPr>
          <w:lang w:val="en-GB"/>
        </w:rPr>
        <w:t>You have two to three</w:t>
      </w:r>
      <w:r w:rsidR="004D7273" w:rsidRPr="008D20DC">
        <w:rPr>
          <w:lang w:val="en-GB"/>
        </w:rPr>
        <w:t xml:space="preserve"> weeks to complete this task.</w:t>
      </w:r>
    </w:p>
    <w:p w:rsidR="004D7273" w:rsidRDefault="004D7273" w:rsidP="004D7273">
      <w:pPr>
        <w:pStyle w:val="NCEAL2heading"/>
        <w:rPr>
          <w:lang w:val="en-GB"/>
        </w:rPr>
      </w:pPr>
      <w:r w:rsidRPr="00255A89">
        <w:rPr>
          <w:lang w:val="en-GB"/>
        </w:rPr>
        <w:t>Task</w:t>
      </w:r>
    </w:p>
    <w:p w:rsidR="004D7273" w:rsidRDefault="004D7273" w:rsidP="004D7273">
      <w:pPr>
        <w:pStyle w:val="NCEAbodytext"/>
        <w:rPr>
          <w:lang w:val="en-GB"/>
        </w:rPr>
      </w:pPr>
      <w:r w:rsidRPr="00255A89">
        <w:rPr>
          <w:lang w:val="en-GB"/>
        </w:rPr>
        <w:t>Aspirin (acetyl salicylic acid) breaks down (by hydrolysis) to form salicylic acid. The amount of salicylic acid can be determined by colorimetric analysis.</w:t>
      </w:r>
      <w:r>
        <w:rPr>
          <w:lang w:val="en-GB"/>
        </w:rPr>
        <w:t xml:space="preserve"> You are to </w:t>
      </w:r>
      <w:proofErr w:type="gramStart"/>
      <w:r>
        <w:rPr>
          <w:lang w:val="en-GB"/>
        </w:rPr>
        <w:t>conduct an investigation into</w:t>
      </w:r>
      <w:proofErr w:type="gramEnd"/>
      <w:r>
        <w:rPr>
          <w:lang w:val="en-GB"/>
        </w:rPr>
        <w:t xml:space="preserve"> the stability of acid under different circumstances.</w:t>
      </w:r>
    </w:p>
    <w:p w:rsidR="004D7273" w:rsidRPr="005A250D" w:rsidRDefault="004D7273" w:rsidP="004D7273">
      <w:pPr>
        <w:pStyle w:val="NCEAbodytext"/>
        <w:rPr>
          <w:lang w:val="en-GB"/>
        </w:rPr>
      </w:pPr>
      <w:r w:rsidRPr="005A250D">
        <w:rPr>
          <w:lang w:val="en-GB"/>
        </w:rPr>
        <w:t xml:space="preserve">A method used to measure the amount of salicylic acid in solution is given in Resource A. </w:t>
      </w:r>
    </w:p>
    <w:p w:rsidR="004D7273" w:rsidRDefault="004D7273" w:rsidP="004D7273">
      <w:pPr>
        <w:pStyle w:val="NCEAbodytext"/>
        <w:rPr>
          <w:lang w:val="en-GB"/>
        </w:rPr>
      </w:pPr>
      <w:r w:rsidRPr="008D20DC">
        <w:rPr>
          <w:lang w:val="en-GB"/>
        </w:rPr>
        <w:t xml:space="preserve">In </w:t>
      </w:r>
      <w:r>
        <w:rPr>
          <w:lang w:val="en-GB"/>
        </w:rPr>
        <w:t xml:space="preserve">a </w:t>
      </w:r>
      <w:r w:rsidR="008954B0">
        <w:rPr>
          <w:lang w:val="en-GB"/>
        </w:rPr>
        <w:t>group</w:t>
      </w:r>
      <w:r w:rsidRPr="008D20DC">
        <w:rPr>
          <w:lang w:val="en-GB"/>
        </w:rPr>
        <w:t xml:space="preserve"> define </w:t>
      </w:r>
      <w:r>
        <w:rPr>
          <w:lang w:val="en-GB"/>
        </w:rPr>
        <w:t xml:space="preserve">the </w:t>
      </w:r>
      <w:r w:rsidRPr="008D20DC">
        <w:rPr>
          <w:lang w:val="en-GB"/>
        </w:rPr>
        <w:t>purpose</w:t>
      </w:r>
      <w:r>
        <w:rPr>
          <w:lang w:val="en-GB"/>
        </w:rPr>
        <w:t xml:space="preserve"> of your investigation</w:t>
      </w:r>
      <w:r w:rsidRPr="008D20DC">
        <w:rPr>
          <w:lang w:val="en-GB"/>
        </w:rPr>
        <w:t xml:space="preserve">, </w:t>
      </w:r>
      <w:r>
        <w:rPr>
          <w:lang w:val="en-GB"/>
        </w:rPr>
        <w:t>conduct</w:t>
      </w:r>
      <w:r w:rsidRPr="008D20DC">
        <w:rPr>
          <w:lang w:val="en-GB"/>
        </w:rPr>
        <w:t xml:space="preserve"> background research</w:t>
      </w:r>
      <w:r w:rsidR="008954B0">
        <w:rPr>
          <w:lang w:val="en-GB"/>
        </w:rPr>
        <w:t>,</w:t>
      </w:r>
      <w:r w:rsidRPr="008D20DC">
        <w:rPr>
          <w:lang w:val="en-GB"/>
        </w:rPr>
        <w:t xml:space="preserve"> and </w:t>
      </w:r>
      <w:r>
        <w:rPr>
          <w:lang w:val="en-GB"/>
        </w:rPr>
        <w:t>identify how you will ensure</w:t>
      </w:r>
      <w:r w:rsidRPr="008D20DC">
        <w:rPr>
          <w:lang w:val="en-GB"/>
        </w:rPr>
        <w:t xml:space="preserve"> safety</w:t>
      </w:r>
      <w:r>
        <w:rPr>
          <w:lang w:val="en-GB"/>
        </w:rPr>
        <w:t xml:space="preserve"> (for example, safety considerations and how you will reduce any possible risks). </w:t>
      </w:r>
      <w:r w:rsidR="00002446">
        <w:rPr>
          <w:lang w:val="en-GB"/>
        </w:rPr>
        <w:t xml:space="preserve">The purpose should include exploring possible trend or pattern in the quantity of </w:t>
      </w:r>
      <w:r w:rsidR="00002446" w:rsidRPr="00255A89">
        <w:rPr>
          <w:lang w:val="en-GB"/>
        </w:rPr>
        <w:t>acetyl salicylic</w:t>
      </w:r>
      <w:r w:rsidR="00002446">
        <w:rPr>
          <w:lang w:val="en-GB"/>
        </w:rPr>
        <w:t>.</w:t>
      </w:r>
    </w:p>
    <w:p w:rsidR="004D7273" w:rsidRDefault="004D7273" w:rsidP="004D7273">
      <w:pPr>
        <w:pStyle w:val="NCEAbodytext"/>
        <w:rPr>
          <w:lang w:val="en-GB"/>
        </w:rPr>
      </w:pPr>
      <w:r>
        <w:rPr>
          <w:lang w:val="en-GB"/>
        </w:rPr>
        <w:lastRenderedPageBreak/>
        <w:t>P</w:t>
      </w:r>
      <w:r w:rsidRPr="008D20DC">
        <w:rPr>
          <w:lang w:val="en-GB"/>
        </w:rPr>
        <w:t xml:space="preserve">lan your practical work and </w:t>
      </w:r>
      <w:r>
        <w:rPr>
          <w:lang w:val="en-GB"/>
        </w:rPr>
        <w:t>conduct</w:t>
      </w:r>
      <w:r w:rsidRPr="008D20DC">
        <w:rPr>
          <w:lang w:val="en-GB"/>
        </w:rPr>
        <w:t xml:space="preserve"> some trials</w:t>
      </w:r>
      <w:r>
        <w:rPr>
          <w:lang w:val="en-GB"/>
        </w:rPr>
        <w:t xml:space="preserve"> to refine your method</w:t>
      </w:r>
      <w:r w:rsidRPr="008D20DC">
        <w:rPr>
          <w:lang w:val="en-GB"/>
        </w:rPr>
        <w:t xml:space="preserve">. Each member of the group </w:t>
      </w:r>
      <w:r>
        <w:rPr>
          <w:lang w:val="en-GB"/>
        </w:rPr>
        <w:t>should</w:t>
      </w:r>
      <w:r w:rsidRPr="008D20DC">
        <w:rPr>
          <w:lang w:val="en-GB"/>
        </w:rPr>
        <w:t xml:space="preserve"> collect and record data for at least one of the independent variables</w:t>
      </w:r>
      <w:r>
        <w:rPr>
          <w:lang w:val="en-GB"/>
        </w:rPr>
        <w:t>.</w:t>
      </w:r>
      <w:r w:rsidRPr="008D20DC">
        <w:rPr>
          <w:lang w:val="en-GB"/>
        </w:rPr>
        <w:t xml:space="preserve"> </w:t>
      </w:r>
      <w:r>
        <w:rPr>
          <w:lang w:val="en-GB"/>
        </w:rPr>
        <w:t>Record this information in a logbook. All data should then be collected together and shared with everyone in the group</w:t>
      </w:r>
      <w:r w:rsidRPr="008D20DC">
        <w:rPr>
          <w:lang w:val="en-GB"/>
        </w:rPr>
        <w:t xml:space="preserve">. </w:t>
      </w:r>
    </w:p>
    <w:p w:rsidR="004D7273" w:rsidRPr="00AB4D7C" w:rsidRDefault="004D7273" w:rsidP="004D7273">
      <w:pPr>
        <w:pStyle w:val="NCEAbodytext"/>
      </w:pPr>
      <w:r>
        <w:t>Working individually, p</w:t>
      </w:r>
      <w:r w:rsidRPr="00B338E2">
        <w:t xml:space="preserve">rocess </w:t>
      </w:r>
      <w:r>
        <w:t xml:space="preserve">the </w:t>
      </w:r>
      <w:r w:rsidRPr="00B338E2">
        <w:t>data and write a report</w:t>
      </w:r>
      <w:r>
        <w:t xml:space="preserve">. </w:t>
      </w:r>
      <w:r w:rsidRPr="00AB4D7C">
        <w:t xml:space="preserve">Your report should </w:t>
      </w:r>
      <w:r w:rsidR="0091792B">
        <w:t>be a maximum of 1</w:t>
      </w:r>
      <w:r w:rsidR="008954B0">
        <w:t>,</w:t>
      </w:r>
      <w:r w:rsidR="0091792B">
        <w:t xml:space="preserve">000 words and </w:t>
      </w:r>
      <w:r w:rsidRPr="00AB4D7C">
        <w:t>include the following sections:</w:t>
      </w:r>
    </w:p>
    <w:p w:rsidR="004D7273" w:rsidRPr="008D20DC" w:rsidRDefault="004D7273" w:rsidP="004D7273">
      <w:pPr>
        <w:pStyle w:val="NCEAbullets"/>
      </w:pPr>
      <w:r>
        <w:t>p</w:t>
      </w:r>
      <w:r w:rsidRPr="008D20DC">
        <w:t>urpose</w:t>
      </w:r>
    </w:p>
    <w:p w:rsidR="004D7273" w:rsidRPr="008D20DC" w:rsidRDefault="008954B0" w:rsidP="004D7273">
      <w:pPr>
        <w:pStyle w:val="NCEAbullets"/>
      </w:pPr>
      <w:r>
        <w:t xml:space="preserve">description of procedure </w:t>
      </w:r>
      <w:r w:rsidRPr="008D20DC">
        <w:t>–</w:t>
      </w:r>
      <w:r>
        <w:t xml:space="preserve"> t</w:t>
      </w:r>
      <w:r w:rsidR="004D7273" w:rsidRPr="008D20DC">
        <w:t>his must include a description of how significant variables are controlled</w:t>
      </w:r>
      <w:r w:rsidR="004D7273">
        <w:t>,</w:t>
      </w:r>
      <w:r w:rsidR="004D7273" w:rsidRPr="008D20DC">
        <w:t xml:space="preserve"> </w:t>
      </w:r>
      <w:r w:rsidR="004D7273">
        <w:t xml:space="preserve">preparation of samples, </w:t>
      </w:r>
      <w:r w:rsidR="004D7273" w:rsidRPr="008D20DC">
        <w:t xml:space="preserve">and any modifications made to the method during </w:t>
      </w:r>
      <w:r>
        <w:t>the course of the investigation</w:t>
      </w:r>
    </w:p>
    <w:p w:rsidR="004D7273" w:rsidRPr="008D20DC" w:rsidRDefault="004D7273" w:rsidP="004D7273">
      <w:pPr>
        <w:pStyle w:val="NCEAbullets"/>
      </w:pPr>
      <w:r>
        <w:t>r</w:t>
      </w:r>
      <w:r w:rsidRPr="008D20DC">
        <w:t xml:space="preserve">esults </w:t>
      </w:r>
    </w:p>
    <w:p w:rsidR="004D7273" w:rsidRPr="008D20DC" w:rsidRDefault="004D7273" w:rsidP="004D7273">
      <w:pPr>
        <w:pStyle w:val="NCEAbullets"/>
      </w:pPr>
      <w:r>
        <w:t>c</w:t>
      </w:r>
      <w:r w:rsidRPr="008D20DC">
        <w:t xml:space="preserve">onclusion </w:t>
      </w:r>
    </w:p>
    <w:p w:rsidR="004D7273" w:rsidRPr="008D20DC" w:rsidRDefault="004D7273" w:rsidP="004D7273">
      <w:pPr>
        <w:pStyle w:val="NCEAbullets"/>
      </w:pPr>
      <w:r>
        <w:t>d</w:t>
      </w:r>
      <w:r w:rsidRPr="008D20DC">
        <w:t>iscussion – an evaluation of the whole investigation that considers</w:t>
      </w:r>
      <w:r>
        <w:t>:</w:t>
      </w:r>
    </w:p>
    <w:p w:rsidR="004D7273" w:rsidRPr="00F02FD9" w:rsidRDefault="004D7273" w:rsidP="004D7273">
      <w:pPr>
        <w:pStyle w:val="NCEABulletssub"/>
      </w:pPr>
      <w:r>
        <w:t>a</w:t>
      </w:r>
      <w:r w:rsidRPr="00F02FD9">
        <w:t>n evaluation of the reliability of data by considering the procedure used and sources of error</w:t>
      </w:r>
    </w:p>
    <w:p w:rsidR="004D7273" w:rsidRPr="008D20DC" w:rsidRDefault="004D7273" w:rsidP="004D7273">
      <w:pPr>
        <w:pStyle w:val="NCEABulletssub"/>
      </w:pPr>
      <w:r>
        <w:t>r</w:t>
      </w:r>
      <w:r w:rsidRPr="008D20DC">
        <w:t>easons for any modifications made to the original method</w:t>
      </w:r>
    </w:p>
    <w:p w:rsidR="004D7273" w:rsidRPr="008D20DC" w:rsidRDefault="004D7273" w:rsidP="004D7273">
      <w:pPr>
        <w:pStyle w:val="NCEABulletssub"/>
      </w:pPr>
      <w:r>
        <w:t>t</w:t>
      </w:r>
      <w:r w:rsidRPr="008D20DC">
        <w:t>he accuracy and reliability of the data collected</w:t>
      </w:r>
    </w:p>
    <w:p w:rsidR="004D7273" w:rsidRDefault="004D7273" w:rsidP="004D7273">
      <w:pPr>
        <w:pStyle w:val="NCEABulletssub"/>
      </w:pPr>
      <w:r>
        <w:t>c</w:t>
      </w:r>
      <w:r w:rsidRPr="008D20DC">
        <w:t>omments on the significance and validity of the conclusion</w:t>
      </w:r>
    </w:p>
    <w:p w:rsidR="004D7273" w:rsidRPr="00F02FD9" w:rsidRDefault="004D7273" w:rsidP="004D7273">
      <w:pPr>
        <w:pStyle w:val="NCEABulletssub"/>
        <w:rPr>
          <w:lang w:eastAsia="en-AU"/>
        </w:rPr>
      </w:pPr>
      <w:r w:rsidRPr="004A1D85">
        <w:rPr>
          <w:lang w:eastAsia="en-AU"/>
        </w:rPr>
        <w:t>link</w:t>
      </w:r>
      <w:r>
        <w:rPr>
          <w:lang w:eastAsia="en-AU"/>
        </w:rPr>
        <w:t>s between</w:t>
      </w:r>
      <w:r w:rsidRPr="004A1D85">
        <w:rPr>
          <w:lang w:eastAsia="en-AU"/>
        </w:rPr>
        <w:t xml:space="preserve"> the conclusion(s) </w:t>
      </w:r>
      <w:r>
        <w:rPr>
          <w:lang w:eastAsia="en-AU"/>
        </w:rPr>
        <w:t>and</w:t>
      </w:r>
      <w:r w:rsidRPr="004A1D85">
        <w:rPr>
          <w:lang w:eastAsia="en-AU"/>
        </w:rPr>
        <w:t xml:space="preserve"> chemical principles and/or </w:t>
      </w:r>
      <w:proofErr w:type="gramStart"/>
      <w:r w:rsidRPr="004A1D85">
        <w:rPr>
          <w:lang w:eastAsia="en-AU"/>
        </w:rPr>
        <w:t>real life</w:t>
      </w:r>
      <w:proofErr w:type="gramEnd"/>
      <w:r w:rsidRPr="004A1D85">
        <w:rPr>
          <w:lang w:eastAsia="en-AU"/>
        </w:rPr>
        <w:t xml:space="preserve"> applications</w:t>
      </w:r>
    </w:p>
    <w:p w:rsidR="004D7273" w:rsidRPr="00F4242A" w:rsidRDefault="004D7273" w:rsidP="004D7273">
      <w:pPr>
        <w:pStyle w:val="BodyText"/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a b</w:t>
      </w:r>
      <w:r w:rsidRPr="008D20DC">
        <w:rPr>
          <w:rFonts w:cs="Arial"/>
          <w:b w:val="0"/>
          <w:sz w:val="22"/>
          <w:szCs w:val="22"/>
          <w:lang w:val="en-GB"/>
        </w:rPr>
        <w:t xml:space="preserve">ibliography </w:t>
      </w:r>
      <w:r>
        <w:rPr>
          <w:rFonts w:cs="Arial"/>
          <w:b w:val="0"/>
          <w:sz w:val="22"/>
          <w:szCs w:val="22"/>
          <w:lang w:val="en-GB"/>
        </w:rPr>
        <w:t>that</w:t>
      </w:r>
      <w:r w:rsidRPr="008D20DC">
        <w:rPr>
          <w:rFonts w:cs="Arial"/>
          <w:b w:val="0"/>
          <w:sz w:val="22"/>
          <w:szCs w:val="22"/>
          <w:lang w:val="en-GB"/>
        </w:rPr>
        <w:t xml:space="preserve"> acknowledge</w:t>
      </w:r>
      <w:r>
        <w:rPr>
          <w:rFonts w:cs="Arial"/>
          <w:b w:val="0"/>
          <w:sz w:val="22"/>
          <w:szCs w:val="22"/>
          <w:lang w:val="en-GB"/>
        </w:rPr>
        <w:t>s</w:t>
      </w:r>
      <w:r w:rsidRPr="008D20DC">
        <w:rPr>
          <w:rFonts w:cs="Arial"/>
          <w:b w:val="0"/>
          <w:sz w:val="22"/>
          <w:szCs w:val="22"/>
          <w:lang w:val="en-GB"/>
        </w:rPr>
        <w:t xml:space="preserve"> and identifi</w:t>
      </w:r>
      <w:r>
        <w:rPr>
          <w:rFonts w:cs="Arial"/>
          <w:b w:val="0"/>
          <w:sz w:val="22"/>
          <w:szCs w:val="22"/>
          <w:lang w:val="en-GB"/>
        </w:rPr>
        <w:t>es</w:t>
      </w:r>
      <w:r w:rsidRPr="008D20DC">
        <w:rPr>
          <w:rFonts w:cs="Arial"/>
          <w:b w:val="0"/>
          <w:sz w:val="22"/>
          <w:szCs w:val="22"/>
          <w:lang w:val="en-GB"/>
        </w:rPr>
        <w:t xml:space="preserve"> sources of information.</w:t>
      </w:r>
    </w:p>
    <w:p w:rsidR="004D7273" w:rsidRPr="008D20DC" w:rsidRDefault="004D7273" w:rsidP="004D7273">
      <w:pPr>
        <w:pStyle w:val="NCEAbodytext"/>
        <w:rPr>
          <w:lang w:val="en-GB"/>
        </w:rPr>
      </w:pPr>
      <w:r>
        <w:rPr>
          <w:lang w:val="en-GB"/>
        </w:rPr>
        <w:t>Hand in your report along with your</w:t>
      </w:r>
      <w:r w:rsidRPr="008D20DC">
        <w:rPr>
          <w:lang w:val="en-GB"/>
        </w:rPr>
        <w:t xml:space="preserve"> logbook contain</w:t>
      </w:r>
      <w:r>
        <w:rPr>
          <w:lang w:val="en-GB"/>
        </w:rPr>
        <w:t>ing</w:t>
      </w:r>
      <w:r w:rsidRPr="008D20DC">
        <w:rPr>
          <w:lang w:val="en-GB"/>
        </w:rPr>
        <w:t xml:space="preserve"> the raw data </w:t>
      </w:r>
      <w:r>
        <w:rPr>
          <w:lang w:val="en-GB"/>
        </w:rPr>
        <w:t>you collected and</w:t>
      </w:r>
      <w:r w:rsidRPr="008D20DC">
        <w:rPr>
          <w:lang w:val="en-GB"/>
        </w:rPr>
        <w:t xml:space="preserve"> a summary of </w:t>
      </w:r>
      <w:r>
        <w:rPr>
          <w:lang w:val="en-GB"/>
        </w:rPr>
        <w:t xml:space="preserve">all </w:t>
      </w:r>
      <w:r w:rsidRPr="008D20DC">
        <w:rPr>
          <w:lang w:val="en-GB"/>
        </w:rPr>
        <w:t>the data collected by the group.</w:t>
      </w:r>
    </w:p>
    <w:p w:rsidR="004D7273" w:rsidRPr="00255A89" w:rsidRDefault="004D7273" w:rsidP="004D7273">
      <w:pPr>
        <w:pStyle w:val="NCEAbodytext"/>
        <w:rPr>
          <w:lang w:val="en-GB"/>
        </w:rPr>
      </w:pPr>
    </w:p>
    <w:p w:rsidR="004D7273" w:rsidRPr="00255A89" w:rsidRDefault="004D7273" w:rsidP="004D7273">
      <w:pPr>
        <w:pStyle w:val="NCEAbodytext"/>
        <w:rPr>
          <w:lang w:val="en-GB"/>
        </w:rPr>
      </w:pPr>
    </w:p>
    <w:p w:rsidR="004D7273" w:rsidRPr="00255A89" w:rsidRDefault="004D7273" w:rsidP="004D7273">
      <w:pPr>
        <w:pStyle w:val="NCEAL2heading"/>
      </w:pPr>
      <w:r w:rsidRPr="00255A89">
        <w:br w:type="page"/>
      </w:r>
      <w:r w:rsidRPr="00255A89">
        <w:lastRenderedPageBreak/>
        <w:t xml:space="preserve">Resource </w:t>
      </w:r>
      <w:r>
        <w:t>A</w:t>
      </w:r>
      <w:r w:rsidRPr="00255A89">
        <w:t xml:space="preserve"> </w:t>
      </w:r>
    </w:p>
    <w:p w:rsidR="004D7273" w:rsidRPr="00BA40BF" w:rsidRDefault="004D7273" w:rsidP="004D7273">
      <w:pPr>
        <w:pStyle w:val="NCEAbodytext"/>
        <w:rPr>
          <w:b/>
        </w:rPr>
      </w:pPr>
      <w:r w:rsidRPr="00BA40BF">
        <w:rPr>
          <w:b/>
        </w:rPr>
        <w:t xml:space="preserve">Determination </w:t>
      </w:r>
      <w:r>
        <w:rPr>
          <w:b/>
        </w:rPr>
        <w:t xml:space="preserve">of the </w:t>
      </w:r>
      <w:r w:rsidRPr="00BA40BF">
        <w:rPr>
          <w:b/>
        </w:rPr>
        <w:t xml:space="preserve">amount of aspirin </w:t>
      </w:r>
    </w:p>
    <w:p w:rsidR="004D7273" w:rsidRDefault="004D7273" w:rsidP="004D7273">
      <w:pPr>
        <w:pStyle w:val="NCEAbodytext"/>
        <w:spacing w:after="0"/>
        <w:rPr>
          <w:i/>
        </w:rPr>
      </w:pPr>
      <w:r w:rsidRPr="00255A89">
        <w:t>Taken from</w:t>
      </w:r>
      <w:r>
        <w:rPr>
          <w:i/>
        </w:rPr>
        <w:t xml:space="preserve"> </w:t>
      </w:r>
      <w:r w:rsidR="00C7757D">
        <w:rPr>
          <w:i/>
        </w:rPr>
        <w:t>“</w:t>
      </w:r>
      <w:r>
        <w:rPr>
          <w:i/>
        </w:rPr>
        <w:t>The Synthesis and Analysis of A</w:t>
      </w:r>
      <w:r w:rsidRPr="00255A89">
        <w:rPr>
          <w:i/>
        </w:rPr>
        <w:t>spirin</w:t>
      </w:r>
      <w:r w:rsidR="00C7757D">
        <w:rPr>
          <w:i/>
        </w:rPr>
        <w:t>”</w:t>
      </w:r>
    </w:p>
    <w:p w:rsidR="004D7273" w:rsidRDefault="0079779D" w:rsidP="004D7273">
      <w:pPr>
        <w:pStyle w:val="NCEAbodytext"/>
        <w:spacing w:before="0" w:after="0"/>
        <w:rPr>
          <w:i/>
        </w:rPr>
      </w:pPr>
      <w:hyperlink r:id="rId13" w:history="1">
        <w:r w:rsidR="004D7273">
          <w:rPr>
            <w:color w:val="0000FF"/>
            <w:szCs w:val="22"/>
            <w:u w:val="single" w:color="0000FF"/>
            <w:lang w:val="en-US"/>
          </w:rPr>
          <w:t>http://www.p-forster.com/Attachments/Aspirin/Aspirin Synt &amp; Beer-Lambert.pdf</w:t>
        </w:r>
      </w:hyperlink>
    </w:p>
    <w:p w:rsidR="004D7273" w:rsidRDefault="004D7273" w:rsidP="004D7273">
      <w:pPr>
        <w:pStyle w:val="NCEAbodytext"/>
        <w:rPr>
          <w:szCs w:val="22"/>
          <w:lang w:val="en-US"/>
        </w:rPr>
      </w:pPr>
      <w:r>
        <w:rPr>
          <w:szCs w:val="22"/>
          <w:lang w:val="en-US"/>
        </w:rPr>
        <w:t>To access this PDF, paste the text into your search engine and select Quick View.</w:t>
      </w:r>
    </w:p>
    <w:p w:rsidR="004D7273" w:rsidRPr="00BA40BF" w:rsidRDefault="004D7273" w:rsidP="004D7273">
      <w:pPr>
        <w:pStyle w:val="NCEAbodytext"/>
        <w:rPr>
          <w:b/>
        </w:rPr>
      </w:pPr>
      <w:r w:rsidRPr="00BA40BF">
        <w:rPr>
          <w:b/>
        </w:rPr>
        <w:t xml:space="preserve">Test the </w:t>
      </w:r>
      <w:r>
        <w:rPr>
          <w:b/>
        </w:rPr>
        <w:t>c</w:t>
      </w:r>
      <w:r w:rsidRPr="00BA40BF">
        <w:rPr>
          <w:b/>
        </w:rPr>
        <w:t>olorimetric</w:t>
      </w:r>
      <w:r>
        <w:rPr>
          <w:b/>
        </w:rPr>
        <w:t xml:space="preserve"> absorbance of an aspirin s</w:t>
      </w:r>
      <w:r w:rsidRPr="00BA40BF">
        <w:rPr>
          <w:b/>
        </w:rPr>
        <w:t>ample</w:t>
      </w:r>
    </w:p>
    <w:p w:rsidR="004D7273" w:rsidRPr="00255A89" w:rsidRDefault="004D7273" w:rsidP="004D7273">
      <w:pPr>
        <w:pStyle w:val="NCEAbodytext"/>
      </w:pPr>
      <w:r w:rsidRPr="00255A89">
        <w:t>Salicylic acid reacts with acidified iron</w:t>
      </w:r>
      <w:r>
        <w:t xml:space="preserve"> </w:t>
      </w:r>
      <w:r w:rsidRPr="00255A89">
        <w:t>(III) nitrate to produce a violet complex</w:t>
      </w:r>
      <w:r w:rsidR="008954B0">
        <w:t>, tetraaquosalicylatroiron (III)</w:t>
      </w:r>
      <w:r w:rsidRPr="00255A89">
        <w:t>.</w:t>
      </w:r>
    </w:p>
    <w:p w:rsidR="004D7273" w:rsidRPr="00255A89" w:rsidRDefault="004D7273" w:rsidP="004D7273">
      <w:pPr>
        <w:pStyle w:val="NCEAbodytext"/>
      </w:pPr>
      <w:r w:rsidRPr="00255A89">
        <w:t>You will prepare a set of standard solutions of the violet complex</w:t>
      </w:r>
      <w:r w:rsidR="008954B0">
        <w:t>, tetraaquosalicylatroiron (III)</w:t>
      </w:r>
      <w:r w:rsidRPr="00255A89">
        <w:t>. The absorbance of the standard solutions can be determined using a colorimeter. A standard curve can then be created and used to determine the amount of salicylic acid in the aspirin tablets.</w:t>
      </w:r>
    </w:p>
    <w:p w:rsidR="004D7273" w:rsidRPr="004C694C" w:rsidRDefault="004D7273" w:rsidP="004D7273">
      <w:pPr>
        <w:pStyle w:val="NCEAnumbers"/>
        <w:numPr>
          <w:ilvl w:val="0"/>
          <w:numId w:val="0"/>
        </w:numPr>
        <w:ind w:left="360" w:hanging="360"/>
        <w:rPr>
          <w:b/>
        </w:rPr>
      </w:pPr>
      <w:r w:rsidRPr="004C694C">
        <w:rPr>
          <w:b/>
        </w:rPr>
        <w:t>Prepare a set of salicylic acid standard</w:t>
      </w:r>
      <w:r w:rsidR="008954B0">
        <w:rPr>
          <w:b/>
        </w:rPr>
        <w:t xml:space="preserve"> solutions and a standard curve</w:t>
      </w:r>
    </w:p>
    <w:p w:rsidR="004D7273" w:rsidRPr="00255A89" w:rsidRDefault="004D7273" w:rsidP="004D7273">
      <w:pPr>
        <w:pStyle w:val="NCEAnumbers"/>
        <w:rPr>
          <w:szCs w:val="22"/>
          <w:lang w:val="en-GB"/>
        </w:rPr>
      </w:pPr>
      <w:r w:rsidRPr="00255A89">
        <w:rPr>
          <w:szCs w:val="22"/>
          <w:lang w:val="en-GB"/>
        </w:rPr>
        <w:t>Measure out about 0.200 g of salicylic acid. Record the precise mass that you use.</w:t>
      </w:r>
    </w:p>
    <w:p w:rsidR="004D7273" w:rsidRPr="00255A89" w:rsidRDefault="004D7273" w:rsidP="004D7273">
      <w:pPr>
        <w:pStyle w:val="NCEAnumbers"/>
        <w:rPr>
          <w:szCs w:val="22"/>
          <w:lang w:val="en-GB"/>
        </w:rPr>
      </w:pPr>
      <w:r w:rsidRPr="00255A89">
        <w:rPr>
          <w:szCs w:val="22"/>
          <w:lang w:val="en-GB"/>
        </w:rPr>
        <w:t xml:space="preserve">Transfer the salicylic acid to a 250 mL beaker and add 10 mL of 95% ethanol. Swirl the beaker to dissolve the solid. </w:t>
      </w:r>
    </w:p>
    <w:p w:rsidR="004D7273" w:rsidRPr="00255A89" w:rsidRDefault="004D7273" w:rsidP="004D7273">
      <w:pPr>
        <w:pStyle w:val="NCEAnumbers"/>
        <w:rPr>
          <w:szCs w:val="22"/>
          <w:lang w:val="en-GB"/>
        </w:rPr>
      </w:pPr>
      <w:r w:rsidRPr="00255A89">
        <w:rPr>
          <w:szCs w:val="22"/>
          <w:lang w:val="en-GB"/>
        </w:rPr>
        <w:t>Add 150 mL of distilled water to the beaker. Mix the solution.</w:t>
      </w:r>
    </w:p>
    <w:p w:rsidR="004D7273" w:rsidRPr="00255A89" w:rsidRDefault="004D7273" w:rsidP="004D7273">
      <w:pPr>
        <w:pStyle w:val="NCEAnumbers"/>
        <w:rPr>
          <w:szCs w:val="22"/>
          <w:lang w:val="en-GB"/>
        </w:rPr>
      </w:pPr>
      <w:r w:rsidRPr="00255A89">
        <w:rPr>
          <w:szCs w:val="22"/>
          <w:lang w:val="en-GB"/>
        </w:rPr>
        <w:t xml:space="preserve">Transfer the solution from the beaker to a 250 mL volumetric flask and make up to the mark with distilled water, making sure that you have transferred all the salicylic acid to the flask. Mix the solution. </w:t>
      </w:r>
    </w:p>
    <w:p w:rsidR="004D7273" w:rsidRPr="00255A89" w:rsidRDefault="004D7273" w:rsidP="004D7273">
      <w:pPr>
        <w:pStyle w:val="NCEAnumbers"/>
        <w:rPr>
          <w:szCs w:val="22"/>
          <w:lang w:val="en-GB"/>
        </w:rPr>
      </w:pPr>
      <w:r w:rsidRPr="00255A89">
        <w:rPr>
          <w:szCs w:val="22"/>
          <w:lang w:val="en-GB"/>
        </w:rPr>
        <w:t>Calculate the precise concentration of your stock solution and record it in your logbook.</w:t>
      </w:r>
    </w:p>
    <w:p w:rsidR="004D7273" w:rsidRPr="00255A89" w:rsidRDefault="004D7273" w:rsidP="004D7273">
      <w:pPr>
        <w:pStyle w:val="NCEAnumbers"/>
        <w:rPr>
          <w:szCs w:val="22"/>
          <w:lang w:val="en-GB"/>
        </w:rPr>
      </w:pPr>
      <w:r w:rsidRPr="00255A89">
        <w:rPr>
          <w:szCs w:val="22"/>
          <w:lang w:val="en-GB"/>
        </w:rPr>
        <w:t>To prepare 100 mL of the violet complex solution</w:t>
      </w:r>
      <w:r>
        <w:rPr>
          <w:szCs w:val="22"/>
          <w:lang w:val="en-GB"/>
        </w:rPr>
        <w:t>,</w:t>
      </w:r>
      <w:r w:rsidRPr="00255A89">
        <w:rPr>
          <w:szCs w:val="22"/>
          <w:lang w:val="en-GB"/>
        </w:rPr>
        <w:t xml:space="preserve"> quantitatively transfer 10 mL of the stock salicylic acid solution you prepared above to a 100 mL volumetric flask.</w:t>
      </w:r>
    </w:p>
    <w:p w:rsidR="004D7273" w:rsidRPr="00255A89" w:rsidRDefault="004D7273" w:rsidP="004D7273">
      <w:pPr>
        <w:pStyle w:val="NCEAnumbers"/>
        <w:rPr>
          <w:szCs w:val="22"/>
          <w:lang w:val="en-GB"/>
        </w:rPr>
      </w:pPr>
      <w:r w:rsidRPr="00255A89">
        <w:rPr>
          <w:szCs w:val="22"/>
          <w:lang w:val="en-GB"/>
        </w:rPr>
        <w:t xml:space="preserve">Add 0.0250 mol </w:t>
      </w:r>
      <w:r w:rsidRPr="00255A89">
        <w:rPr>
          <w:szCs w:val="22"/>
          <w:vertAlign w:val="superscript"/>
          <w:lang w:val="en-GB"/>
        </w:rPr>
        <w:t>L-</w:t>
      </w:r>
      <w:r w:rsidRPr="00255A89">
        <w:rPr>
          <w:szCs w:val="22"/>
          <w:lang w:val="en-GB"/>
        </w:rPr>
        <w:t>1 Fe (NO</w:t>
      </w:r>
      <w:r w:rsidRPr="00B13F37">
        <w:rPr>
          <w:szCs w:val="22"/>
          <w:vertAlign w:val="subscript"/>
          <w:lang w:val="en-GB"/>
        </w:rPr>
        <w:t>3</w:t>
      </w:r>
      <w:r w:rsidRPr="00255A89">
        <w:rPr>
          <w:szCs w:val="22"/>
          <w:lang w:val="en-GB"/>
        </w:rPr>
        <w:t>)</w:t>
      </w:r>
      <w:r w:rsidRPr="00B13F37">
        <w:rPr>
          <w:szCs w:val="22"/>
          <w:vertAlign w:val="subscript"/>
          <w:lang w:val="en-GB"/>
        </w:rPr>
        <w:t>3</w:t>
      </w:r>
      <w:r w:rsidRPr="00255A89">
        <w:rPr>
          <w:szCs w:val="22"/>
          <w:lang w:val="en-GB"/>
        </w:rPr>
        <w:t xml:space="preserve"> solution to the flask to make precisely 100 mL.</w:t>
      </w:r>
    </w:p>
    <w:p w:rsidR="004D7273" w:rsidRPr="00255A89" w:rsidRDefault="004D7273" w:rsidP="004D7273">
      <w:pPr>
        <w:pStyle w:val="NCEAnumbers"/>
        <w:rPr>
          <w:szCs w:val="22"/>
          <w:lang w:val="en-GB"/>
        </w:rPr>
      </w:pPr>
      <w:r w:rsidRPr="00255A89">
        <w:rPr>
          <w:szCs w:val="22"/>
          <w:lang w:val="en-GB"/>
        </w:rPr>
        <w:t>Use this solution to prepare a set of standard solutions according to the table below. Mix these thoroughly.</w:t>
      </w:r>
    </w:p>
    <w:p w:rsidR="004D7273" w:rsidRPr="00255A89" w:rsidRDefault="004D7273" w:rsidP="004D7273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851"/>
        <w:gridCol w:w="2819"/>
      </w:tblGrid>
      <w:tr w:rsidR="004D7273" w:rsidRPr="00255A89">
        <w:tc>
          <w:tcPr>
            <w:tcW w:w="2969" w:type="dxa"/>
            <w:shd w:val="clear" w:color="auto" w:fill="auto"/>
          </w:tcPr>
          <w:p w:rsidR="004D7273" w:rsidRPr="008954B0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4B0">
              <w:rPr>
                <w:rFonts w:ascii="Arial" w:hAnsi="Arial" w:cs="Arial"/>
                <w:b/>
                <w:sz w:val="22"/>
                <w:szCs w:val="22"/>
              </w:rPr>
              <w:t>Standard solution number</w:t>
            </w:r>
          </w:p>
        </w:tc>
        <w:tc>
          <w:tcPr>
            <w:tcW w:w="2964" w:type="dxa"/>
            <w:shd w:val="clear" w:color="auto" w:fill="auto"/>
          </w:tcPr>
          <w:p w:rsidR="004D7273" w:rsidRPr="008954B0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4B0">
              <w:rPr>
                <w:rFonts w:ascii="Arial" w:hAnsi="Arial" w:cs="Arial"/>
                <w:b/>
                <w:sz w:val="22"/>
                <w:szCs w:val="22"/>
              </w:rPr>
              <w:t>Volume of complex solution (mL)</w:t>
            </w:r>
          </w:p>
        </w:tc>
        <w:tc>
          <w:tcPr>
            <w:tcW w:w="2949" w:type="dxa"/>
            <w:shd w:val="clear" w:color="auto" w:fill="auto"/>
          </w:tcPr>
          <w:p w:rsidR="004D7273" w:rsidRPr="008954B0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4B0">
              <w:rPr>
                <w:rFonts w:ascii="Arial" w:hAnsi="Arial" w:cs="Arial"/>
                <w:b/>
                <w:sz w:val="22"/>
                <w:szCs w:val="22"/>
              </w:rPr>
              <w:t>Water (mL)</w:t>
            </w:r>
          </w:p>
        </w:tc>
      </w:tr>
      <w:tr w:rsidR="004D7273" w:rsidRPr="00255A89">
        <w:tc>
          <w:tcPr>
            <w:tcW w:w="2969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  <w:tc>
          <w:tcPr>
            <w:tcW w:w="2949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4D7273" w:rsidRPr="00255A89">
        <w:tc>
          <w:tcPr>
            <w:tcW w:w="2969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2949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4D7273" w:rsidRPr="00255A89">
        <w:tc>
          <w:tcPr>
            <w:tcW w:w="2969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2949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4D7273" w:rsidRPr="00255A89">
        <w:tc>
          <w:tcPr>
            <w:tcW w:w="2969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2949" w:type="dxa"/>
            <w:shd w:val="clear" w:color="auto" w:fill="auto"/>
          </w:tcPr>
          <w:p w:rsidR="004D7273" w:rsidRPr="00255A89" w:rsidRDefault="004D7273" w:rsidP="004D7273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89">
              <w:rPr>
                <w:rFonts w:ascii="Arial" w:hAnsi="Arial" w:cs="Arial"/>
                <w:sz w:val="22"/>
                <w:szCs w:val="22"/>
              </w:rPr>
              <w:t>7.5</w:t>
            </w:r>
          </w:p>
        </w:tc>
      </w:tr>
    </w:tbl>
    <w:p w:rsidR="004D7273" w:rsidRPr="00255A89" w:rsidRDefault="004D7273" w:rsidP="004D7273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4D7273" w:rsidRPr="00255A89" w:rsidRDefault="004D7273" w:rsidP="004D7273">
      <w:pPr>
        <w:pStyle w:val="NCEAnumbers"/>
      </w:pPr>
      <w:r w:rsidRPr="00255A89">
        <w:t>Calculate the precise concentrations of the four standard solutions in the table above and record them in your logbook.</w:t>
      </w:r>
    </w:p>
    <w:p w:rsidR="004D7273" w:rsidRPr="00255A89" w:rsidRDefault="008954B0" w:rsidP="004D7273">
      <w:pPr>
        <w:pStyle w:val="NCEAnumbers"/>
      </w:pPr>
      <w:r>
        <w:t>Set up the c</w:t>
      </w:r>
      <w:r w:rsidR="004D7273" w:rsidRPr="00255A89">
        <w:t>olorimeter according to the manufacturer’s instructions.</w:t>
      </w:r>
    </w:p>
    <w:p w:rsidR="004D7273" w:rsidRPr="00255A89" w:rsidRDefault="004D7273" w:rsidP="004D7273">
      <w:pPr>
        <w:pStyle w:val="NCEAnumbers"/>
      </w:pPr>
      <w:r>
        <w:t>Record the absorbance</w:t>
      </w:r>
      <w:r w:rsidRPr="00255A89">
        <w:t>s of your set of standard solutions</w:t>
      </w:r>
      <w:r>
        <w:t>.</w:t>
      </w:r>
    </w:p>
    <w:p w:rsidR="004D7273" w:rsidRDefault="004D7273" w:rsidP="004D7273">
      <w:pPr>
        <w:pStyle w:val="NCEAnumbers"/>
      </w:pPr>
      <w:r w:rsidRPr="00255A89">
        <w:t>Prepare a stand</w:t>
      </w:r>
      <w:r>
        <w:t xml:space="preserve">ard curve showing absorbance </w:t>
      </w:r>
      <w:r w:rsidR="00C7757D">
        <w:t>vs.</w:t>
      </w:r>
      <w:r w:rsidRPr="00255A89">
        <w:t xml:space="preserve"> concentration of salicylic acid in the standard solutions. </w:t>
      </w:r>
    </w:p>
    <w:p w:rsidR="004D7273" w:rsidRPr="004C694C" w:rsidRDefault="004D7273" w:rsidP="004D7273">
      <w:pPr>
        <w:pStyle w:val="NCEAbodytext"/>
        <w:rPr>
          <w:b/>
        </w:rPr>
      </w:pPr>
      <w:r>
        <w:br w:type="page"/>
      </w:r>
      <w:r w:rsidRPr="004C694C">
        <w:rPr>
          <w:b/>
        </w:rPr>
        <w:lastRenderedPageBreak/>
        <w:t>Determin</w:t>
      </w:r>
      <w:r>
        <w:rPr>
          <w:b/>
        </w:rPr>
        <w:t>e</w:t>
      </w:r>
      <w:r w:rsidRPr="004C694C">
        <w:rPr>
          <w:b/>
        </w:rPr>
        <w:t xml:space="preserve"> the concentration of salicylic acid in samples</w:t>
      </w:r>
    </w:p>
    <w:p w:rsidR="004D7273" w:rsidRPr="00255A89" w:rsidRDefault="004D7273" w:rsidP="004D7273">
      <w:pPr>
        <w:pStyle w:val="NCEAnumbers"/>
        <w:numPr>
          <w:ilvl w:val="0"/>
          <w:numId w:val="40"/>
        </w:numPr>
      </w:pPr>
      <w:r w:rsidRPr="00255A89">
        <w:t>Measure out about 0.200 g of each of yo</w:t>
      </w:r>
      <w:r w:rsidR="008954B0">
        <w:t>ur treated aspirin samples (for example,</w:t>
      </w:r>
      <w:r w:rsidRPr="00255A89">
        <w:t xml:space="preserve"> exposed to different temperatures, pH levels, moisture levels) and transfer them to 250 mL beakers. Record the precise mass of aspirin that you use for each sample.</w:t>
      </w:r>
    </w:p>
    <w:p w:rsidR="004D7273" w:rsidRPr="00255A89" w:rsidRDefault="004D7273" w:rsidP="004D7273">
      <w:pPr>
        <w:pStyle w:val="NCEAnumbers"/>
      </w:pPr>
      <w:r w:rsidRPr="00255A89">
        <w:t>Add 10 mL of 95% ethanol to each beaker of aspirin sample. Swirl the mixture to dissolve the solid.</w:t>
      </w:r>
    </w:p>
    <w:p w:rsidR="004D7273" w:rsidRPr="00255A89" w:rsidRDefault="004D7273" w:rsidP="004D7273">
      <w:pPr>
        <w:pStyle w:val="NCEAnumbers"/>
      </w:pPr>
      <w:r w:rsidRPr="00255A89">
        <w:t>Add 150 mL of distilled water to each beaker. Mix the solutions.</w:t>
      </w:r>
    </w:p>
    <w:p w:rsidR="004D7273" w:rsidRPr="00255A89" w:rsidRDefault="004D7273" w:rsidP="004D7273">
      <w:pPr>
        <w:pStyle w:val="NCEAnumbers"/>
      </w:pPr>
      <w:r w:rsidRPr="00255A89">
        <w:t>Quantitatively transfer the solutions from the beakers to 250 mL volumetric flasks. Make up to the mark using distilled water. Mix thoroughly.</w:t>
      </w:r>
    </w:p>
    <w:p w:rsidR="004D7273" w:rsidRPr="00255A89" w:rsidRDefault="004D7273" w:rsidP="004D7273">
      <w:pPr>
        <w:pStyle w:val="NCEAnumbers"/>
      </w:pPr>
      <w:r w:rsidRPr="00255A89">
        <w:t>Transfer 5 mL of each of the aspirin solutions from the 250 mL volumetric flasks to clean, dry 100 mL volumetric flasks. Add 0.025 M Fe (NO</w:t>
      </w:r>
      <w:r w:rsidRPr="0033522B">
        <w:rPr>
          <w:vertAlign w:val="subscript"/>
        </w:rPr>
        <w:t>3</w:t>
      </w:r>
      <w:r w:rsidRPr="00255A89">
        <w:t>)</w:t>
      </w:r>
      <w:r w:rsidRPr="0033522B">
        <w:rPr>
          <w:vertAlign w:val="subscript"/>
        </w:rPr>
        <w:t>3</w:t>
      </w:r>
      <w:r w:rsidRPr="00255A89">
        <w:t xml:space="preserve"> solution to each flask to make precisely 100 mL. Mix the solutions thoroughly.</w:t>
      </w:r>
    </w:p>
    <w:p w:rsidR="004D7273" w:rsidRPr="00255A89" w:rsidRDefault="004D7273" w:rsidP="004D7273">
      <w:pPr>
        <w:pStyle w:val="NCEAnumbers"/>
      </w:pPr>
      <w:r w:rsidRPr="00255A89">
        <w:t>Measure and record the absorbance of the treated aspirin sam</w:t>
      </w:r>
      <w:r w:rsidR="008954B0">
        <w:t>ples. This must be done within five</w:t>
      </w:r>
      <w:r w:rsidRPr="00255A89">
        <w:t xml:space="preserve"> minutes.</w:t>
      </w:r>
    </w:p>
    <w:p w:rsidR="004D7273" w:rsidRPr="00255A89" w:rsidRDefault="008954B0" w:rsidP="004D7273">
      <w:pPr>
        <w:pStyle w:val="NCEAnumbers"/>
      </w:pPr>
      <w:r>
        <w:t xml:space="preserve">Repeat Steps </w:t>
      </w:r>
      <w:r w:rsidR="003D5899">
        <w:t>5</w:t>
      </w:r>
      <w:r>
        <w:t xml:space="preserve"> </w:t>
      </w:r>
      <w:r w:rsidR="003D5899">
        <w:t>and 6</w:t>
      </w:r>
      <w:r w:rsidR="004D7273" w:rsidRPr="00255A89">
        <w:t xml:space="preserve"> </w:t>
      </w:r>
      <w:r>
        <w:t xml:space="preserve">twice </w:t>
      </w:r>
      <w:r w:rsidR="004D7273" w:rsidRPr="00255A89">
        <w:t>with new aliquots of the treated aspirin samples</w:t>
      </w:r>
      <w:r w:rsidR="004D7273">
        <w:t>.</w:t>
      </w:r>
    </w:p>
    <w:p w:rsidR="004D7273" w:rsidRPr="00255A89" w:rsidRDefault="004D7273" w:rsidP="004D7273">
      <w:pPr>
        <w:pStyle w:val="NCEAnumbers"/>
      </w:pPr>
      <w:r w:rsidRPr="00255A89">
        <w:t>Use your standard curve to determine the concentration of salicylic acid in the samples.</w:t>
      </w:r>
    </w:p>
    <w:p w:rsidR="004D7273" w:rsidRPr="00255A89" w:rsidRDefault="004D7273" w:rsidP="004D72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7273" w:rsidRPr="00255A89" w:rsidRDefault="004D7273" w:rsidP="004D7273">
      <w:pPr>
        <w:rPr>
          <w:rFonts w:ascii="Arial" w:hAnsi="Arial" w:cs="Arial"/>
          <w:sz w:val="22"/>
          <w:szCs w:val="22"/>
        </w:rPr>
      </w:pPr>
    </w:p>
    <w:p w:rsidR="004D7273" w:rsidRPr="00255A89" w:rsidRDefault="004D7273" w:rsidP="004D7273">
      <w:pPr>
        <w:pStyle w:val="NCEAL2heading"/>
        <w:rPr>
          <w:b w:val="0"/>
          <w:sz w:val="22"/>
          <w:szCs w:val="22"/>
          <w:lang w:val="en-GB"/>
        </w:rPr>
      </w:pPr>
    </w:p>
    <w:p w:rsidR="004D7273" w:rsidRPr="00255A89" w:rsidRDefault="004D7273" w:rsidP="004D7273">
      <w:pPr>
        <w:pStyle w:val="NCEAbodytext"/>
        <w:rPr>
          <w:color w:val="000000"/>
          <w:lang w:val="en-GB"/>
        </w:rPr>
      </w:pPr>
    </w:p>
    <w:p w:rsidR="004D7273" w:rsidRPr="00255A89" w:rsidRDefault="004D7273" w:rsidP="004D7273">
      <w:pPr>
        <w:pStyle w:val="NCEAbodytext"/>
        <w:rPr>
          <w:b/>
          <w:i/>
          <w:color w:val="FF0000"/>
          <w:lang w:val="en-GB"/>
        </w:rPr>
      </w:pPr>
    </w:p>
    <w:p w:rsidR="004D7273" w:rsidRPr="00255A89" w:rsidRDefault="004D7273" w:rsidP="004D7273">
      <w:pPr>
        <w:pStyle w:val="NCEAbodytext"/>
        <w:rPr>
          <w:lang w:val="en-GB"/>
        </w:rPr>
        <w:sectPr w:rsidR="004D7273" w:rsidRPr="00255A89" w:rsidSect="004D7273">
          <w:headerReference w:type="default" r:id="rId14"/>
          <w:footerReference w:type="first" r:id="rId15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4D7273" w:rsidRPr="00255A89" w:rsidRDefault="004D7273" w:rsidP="004D7273">
      <w:pPr>
        <w:pStyle w:val="NCEAL2heading"/>
        <w:rPr>
          <w:lang w:val="en-GB"/>
        </w:rPr>
      </w:pPr>
      <w:r w:rsidRPr="00255A89">
        <w:rPr>
          <w:lang w:val="en-GB"/>
        </w:rPr>
        <w:lastRenderedPageBreak/>
        <w:t>Ass</w:t>
      </w:r>
      <w:r w:rsidR="008C1AEA">
        <w:rPr>
          <w:lang w:val="en-GB"/>
        </w:rPr>
        <w:t>essment schedule: Chemistry 91387</w:t>
      </w:r>
      <w:r w:rsidRPr="00255A89">
        <w:rPr>
          <w:lang w:val="en-GB"/>
        </w:rPr>
        <w:t xml:space="preserve"> How stable is your aspirin?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4D7273" w:rsidRPr="00255A89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4D7273" w:rsidRPr="00255A89" w:rsidRDefault="004D7273" w:rsidP="004D7273">
            <w:pPr>
              <w:pStyle w:val="NCEAtablehead"/>
            </w:pPr>
            <w:r w:rsidRPr="00255A89">
              <w:t xml:space="preserve">Evidence/Judgements for Achievement </w:t>
            </w:r>
          </w:p>
        </w:tc>
        <w:tc>
          <w:tcPr>
            <w:tcW w:w="1667" w:type="pct"/>
          </w:tcPr>
          <w:p w:rsidR="004D7273" w:rsidRPr="00255A89" w:rsidRDefault="004D7273" w:rsidP="004D7273">
            <w:pPr>
              <w:pStyle w:val="NCEAtablehead"/>
            </w:pPr>
            <w:r w:rsidRPr="00255A89">
              <w:t>Evidence/Judgements for Achievement with Merit</w:t>
            </w:r>
          </w:p>
        </w:tc>
        <w:tc>
          <w:tcPr>
            <w:tcW w:w="1667" w:type="pct"/>
          </w:tcPr>
          <w:p w:rsidR="004D7273" w:rsidRPr="00255A89" w:rsidRDefault="004D7273" w:rsidP="004D7273">
            <w:pPr>
              <w:pStyle w:val="NCEAtablehead"/>
            </w:pPr>
            <w:r w:rsidRPr="00255A89">
              <w:t>Evidence/Judgements for Achievement with Excellence</w:t>
            </w:r>
          </w:p>
        </w:tc>
      </w:tr>
      <w:tr w:rsidR="004D7273" w:rsidRPr="00255A89">
        <w:tc>
          <w:tcPr>
            <w:tcW w:w="1667" w:type="pct"/>
          </w:tcPr>
          <w:p w:rsidR="0072413A" w:rsidRDefault="004D7273" w:rsidP="004D7273">
            <w:pPr>
              <w:pStyle w:val="NCEAtablebody"/>
              <w:rPr>
                <w:lang w:val="en-GB"/>
              </w:rPr>
            </w:pPr>
            <w:r w:rsidRPr="00255A89">
              <w:t xml:space="preserve">The student </w:t>
            </w:r>
            <w:r w:rsidR="0072413A">
              <w:rPr>
                <w:lang w:val="en-GB"/>
              </w:rPr>
              <w:t>c</w:t>
            </w:r>
            <w:r w:rsidR="00C7757D" w:rsidRPr="00C7757D">
              <w:rPr>
                <w:lang w:val="en-GB"/>
              </w:rPr>
              <w:t>arr</w:t>
            </w:r>
            <w:r w:rsidR="0072413A">
              <w:rPr>
                <w:lang w:val="en-GB"/>
              </w:rPr>
              <w:t>ies</w:t>
            </w:r>
            <w:r w:rsidR="00C7757D" w:rsidRPr="00C7757D">
              <w:rPr>
                <w:lang w:val="en-GB"/>
              </w:rPr>
              <w:t xml:space="preserve"> out an investigation in chemistry involving quantitative analysis</w:t>
            </w:r>
            <w:r w:rsidR="00055C97">
              <w:rPr>
                <w:lang w:val="en-GB"/>
              </w:rPr>
              <w:t>.</w:t>
            </w:r>
          </w:p>
          <w:p w:rsidR="004D7273" w:rsidRDefault="0072413A" w:rsidP="004D7273">
            <w:pPr>
              <w:pStyle w:val="NCEAtablebody"/>
            </w:pPr>
            <w:r>
              <w:rPr>
                <w:lang w:val="en-GB"/>
              </w:rPr>
              <w:t>They do this by</w:t>
            </w:r>
            <w:r w:rsidR="00C7757D" w:rsidRPr="00C7757D">
              <w:rPr>
                <w:lang w:val="en-GB"/>
              </w:rPr>
              <w:t xml:space="preserve"> </w:t>
            </w:r>
            <w:r w:rsidR="004D7273" w:rsidRPr="00255A89">
              <w:t>investig</w:t>
            </w:r>
            <w:r>
              <w:t>ating</w:t>
            </w:r>
            <w:r w:rsidR="004D7273" w:rsidRPr="00255A89">
              <w:t xml:space="preserve"> the stability of acid under certain conditions leading to a conclusion</w:t>
            </w:r>
            <w:r w:rsidR="0027368F">
              <w:t xml:space="preserve"> </w:t>
            </w:r>
            <w:r w:rsidR="0027368F" w:rsidRPr="0027368F">
              <w:rPr>
                <w:lang w:val="en-GB"/>
              </w:rPr>
              <w:t>based on the processed data</w:t>
            </w:r>
            <w:r w:rsidR="004D7273" w:rsidRPr="00255A89">
              <w:t>.</w:t>
            </w:r>
          </w:p>
          <w:p w:rsidR="004D7273" w:rsidRPr="00255A89" w:rsidRDefault="004D7273" w:rsidP="004D7273">
            <w:pPr>
              <w:pStyle w:val="NCEAtablebody"/>
            </w:pPr>
            <w:r w:rsidRPr="00255A89">
              <w:t xml:space="preserve">They </w:t>
            </w:r>
            <w:r>
              <w:t>have kept a</w:t>
            </w:r>
            <w:r w:rsidRPr="00255A89">
              <w:t xml:space="preserve"> logbook and produce</w:t>
            </w:r>
            <w:r>
              <w:t>d</w:t>
            </w:r>
            <w:r w:rsidRPr="00255A89">
              <w:t xml:space="preserve"> a report. </w:t>
            </w:r>
          </w:p>
          <w:p w:rsidR="004D7273" w:rsidRPr="00255A89" w:rsidRDefault="003D5899" w:rsidP="004D7273">
            <w:pPr>
              <w:pStyle w:val="NCEAtablebody"/>
            </w:pPr>
            <w:r>
              <w:t>In their investigation</w:t>
            </w:r>
            <w:r w:rsidR="004D7273">
              <w:t xml:space="preserve"> the student has:</w:t>
            </w:r>
          </w:p>
          <w:p w:rsidR="004D7273" w:rsidRDefault="004D7273" w:rsidP="004D7273">
            <w:pPr>
              <w:pStyle w:val="NCEAtablebullet"/>
            </w:pPr>
            <w:r w:rsidRPr="003822DD">
              <w:t>develop</w:t>
            </w:r>
            <w:r>
              <w:t>ed</w:t>
            </w:r>
            <w:r w:rsidRPr="003822DD">
              <w:t xml:space="preserve"> a purpose</w:t>
            </w:r>
          </w:p>
          <w:p w:rsidR="003664B1" w:rsidRDefault="003664B1" w:rsidP="004D7273">
            <w:pPr>
              <w:pStyle w:val="NCEAtablebullet"/>
            </w:pPr>
            <w:r>
              <w:t>explored a possible trend or pattern</w:t>
            </w:r>
            <w:r w:rsidR="00333634">
              <w:t xml:space="preserve"> in the quantity of substance in a sample</w:t>
            </w:r>
          </w:p>
          <w:p w:rsidR="003664B1" w:rsidRPr="003822DD" w:rsidRDefault="003664B1" w:rsidP="004D7273">
            <w:pPr>
              <w:pStyle w:val="NCEAtablebullet"/>
            </w:pPr>
            <w:r>
              <w:t>developed and carried out a procedure to collect data</w:t>
            </w:r>
          </w:p>
          <w:p w:rsidR="004D7273" w:rsidRPr="003822DD" w:rsidRDefault="004D7273" w:rsidP="004D7273">
            <w:pPr>
              <w:pStyle w:val="NCEAtablebullet"/>
            </w:pPr>
            <w:r>
              <w:t xml:space="preserve">described the </w:t>
            </w:r>
            <w:r w:rsidRPr="003822DD">
              <w:t>procedure</w:t>
            </w:r>
            <w:r>
              <w:t>, including preparation of samples and the analytical technique used</w:t>
            </w:r>
          </w:p>
          <w:p w:rsidR="004D7273" w:rsidRDefault="004D7273" w:rsidP="004D7273">
            <w:pPr>
              <w:pStyle w:val="NCEAtablebullet"/>
            </w:pPr>
            <w:r>
              <w:t xml:space="preserve">chosen </w:t>
            </w:r>
            <w:r w:rsidR="00E02F02">
              <w:t xml:space="preserve">a range of </w:t>
            </w:r>
            <w:r w:rsidRPr="003822DD">
              <w:t>values for the independent variable</w:t>
            </w:r>
          </w:p>
          <w:p w:rsidR="003664B1" w:rsidRPr="003822DD" w:rsidRDefault="003664B1" w:rsidP="004D7273">
            <w:pPr>
              <w:pStyle w:val="NCEAtablebullet"/>
            </w:pPr>
            <w:r>
              <w:t>collected and recorded sufficient data to enable a conclusion to be reached</w:t>
            </w:r>
          </w:p>
          <w:p w:rsidR="004D7273" w:rsidRPr="003822DD" w:rsidRDefault="004D7273" w:rsidP="004D7273">
            <w:pPr>
              <w:pStyle w:val="NCEAtablebullet"/>
            </w:pPr>
            <w:r>
              <w:t>provided a summary of the collected and processed data</w:t>
            </w:r>
          </w:p>
          <w:p w:rsidR="004D7273" w:rsidRDefault="004D7273" w:rsidP="004D7273">
            <w:pPr>
              <w:pStyle w:val="NCEAtablebullet"/>
            </w:pPr>
            <w:r w:rsidRPr="003822DD">
              <w:t>ma</w:t>
            </w:r>
            <w:r>
              <w:t>de</w:t>
            </w:r>
            <w:r w:rsidRPr="003822DD">
              <w:t xml:space="preserve"> a conclusion based on processed data.</w:t>
            </w:r>
          </w:p>
          <w:p w:rsidR="00BD1A62" w:rsidRPr="003822DD" w:rsidRDefault="00BD1A62" w:rsidP="00BD1A62">
            <w:pPr>
              <w:pStyle w:val="NCEAtablebullet"/>
              <w:numPr>
                <w:ilvl w:val="0"/>
                <w:numId w:val="0"/>
              </w:numPr>
              <w:ind w:left="227" w:hanging="227"/>
            </w:pPr>
          </w:p>
          <w:p w:rsidR="004D7273" w:rsidRPr="00255A89" w:rsidRDefault="004D7273" w:rsidP="004D7273">
            <w:pPr>
              <w:pStyle w:val="NCEAtablebullet"/>
              <w:numPr>
                <w:ilvl w:val="0"/>
                <w:numId w:val="0"/>
              </w:numPr>
              <w:ind w:left="227"/>
              <w:rPr>
                <w:b/>
              </w:rPr>
            </w:pPr>
          </w:p>
        </w:tc>
        <w:tc>
          <w:tcPr>
            <w:tcW w:w="1667" w:type="pct"/>
          </w:tcPr>
          <w:p w:rsidR="00962E9A" w:rsidRDefault="00962E9A" w:rsidP="00962E9A">
            <w:pPr>
              <w:pStyle w:val="NCEAtablebody"/>
              <w:rPr>
                <w:lang w:val="en-GB"/>
              </w:rPr>
            </w:pPr>
            <w:r w:rsidRPr="00255A89">
              <w:t xml:space="preserve">The student </w:t>
            </w:r>
            <w:r>
              <w:rPr>
                <w:lang w:val="en-GB"/>
              </w:rPr>
              <w:t>c</w:t>
            </w:r>
            <w:r w:rsidRPr="00C7757D">
              <w:rPr>
                <w:lang w:val="en-GB"/>
              </w:rPr>
              <w:t>arr</w:t>
            </w:r>
            <w:r>
              <w:rPr>
                <w:lang w:val="en-GB"/>
              </w:rPr>
              <w:t>ies</w:t>
            </w:r>
            <w:r w:rsidRPr="00C7757D">
              <w:rPr>
                <w:lang w:val="en-GB"/>
              </w:rPr>
              <w:t xml:space="preserve"> out an </w:t>
            </w:r>
            <w:r>
              <w:rPr>
                <w:lang w:val="en-GB"/>
              </w:rPr>
              <w:t xml:space="preserve">in-depth </w:t>
            </w:r>
            <w:r w:rsidRPr="00C7757D">
              <w:rPr>
                <w:lang w:val="en-GB"/>
              </w:rPr>
              <w:t>investigation in chemistry involving quantitative analysis</w:t>
            </w:r>
            <w:r>
              <w:rPr>
                <w:lang w:val="en-GB"/>
              </w:rPr>
              <w:t xml:space="preserve">. </w:t>
            </w:r>
          </w:p>
          <w:p w:rsidR="00962E9A" w:rsidRDefault="00962E9A" w:rsidP="00962E9A">
            <w:pPr>
              <w:pStyle w:val="NCEAtablebody"/>
            </w:pPr>
            <w:r>
              <w:rPr>
                <w:lang w:val="en-GB"/>
              </w:rPr>
              <w:t>They do this by</w:t>
            </w:r>
            <w:r w:rsidRPr="00C7757D">
              <w:rPr>
                <w:lang w:val="en-GB"/>
              </w:rPr>
              <w:t xml:space="preserve"> </w:t>
            </w:r>
            <w:r w:rsidRPr="00255A89">
              <w:t>investig</w:t>
            </w:r>
            <w:r>
              <w:t>ating</w:t>
            </w:r>
            <w:r w:rsidRPr="00255A89">
              <w:t xml:space="preserve"> the stability of acid under certain conditions leading to </w:t>
            </w:r>
            <w:r w:rsidR="0027368F">
              <w:t>a</w:t>
            </w:r>
            <w:r w:rsidRPr="00255A89">
              <w:t xml:space="preserve"> conclusion</w:t>
            </w:r>
            <w:r w:rsidR="0027368F">
              <w:t xml:space="preserve"> </w:t>
            </w:r>
            <w:r w:rsidR="0027368F" w:rsidRPr="0027368F">
              <w:rPr>
                <w:lang w:val="en-GB"/>
              </w:rPr>
              <w:t>that links the processed data to the purpose of the investigation</w:t>
            </w:r>
            <w:r w:rsidR="0027368F">
              <w:rPr>
                <w:lang w:val="en-GB"/>
              </w:rPr>
              <w:t>.</w:t>
            </w:r>
            <w:r w:rsidRPr="00255A89">
              <w:t xml:space="preserve"> </w:t>
            </w:r>
          </w:p>
          <w:p w:rsidR="004D7273" w:rsidRPr="00255A89" w:rsidRDefault="004D7273" w:rsidP="00962E9A">
            <w:pPr>
              <w:pStyle w:val="NCEAtablebody"/>
            </w:pPr>
            <w:r w:rsidRPr="00255A89">
              <w:t xml:space="preserve">They </w:t>
            </w:r>
            <w:r>
              <w:t>have kept a</w:t>
            </w:r>
            <w:r w:rsidRPr="00255A89">
              <w:t xml:space="preserve"> logbook and produce</w:t>
            </w:r>
            <w:r>
              <w:t>d</w:t>
            </w:r>
            <w:r w:rsidRPr="00255A89">
              <w:t xml:space="preserve"> a report. </w:t>
            </w:r>
          </w:p>
          <w:p w:rsidR="004D7273" w:rsidRPr="00255A89" w:rsidRDefault="003D5899" w:rsidP="004D7273">
            <w:pPr>
              <w:pStyle w:val="NCEAtablebody"/>
            </w:pPr>
            <w:r>
              <w:t>In their investigation</w:t>
            </w:r>
            <w:r w:rsidR="004D7273">
              <w:t xml:space="preserve"> the student has:</w:t>
            </w:r>
          </w:p>
          <w:p w:rsidR="004D7273" w:rsidRPr="008D20DC" w:rsidRDefault="004D7273" w:rsidP="004D7273">
            <w:pPr>
              <w:pStyle w:val="NCEAtablebullet"/>
            </w:pPr>
            <w:r>
              <w:t>c</w:t>
            </w:r>
            <w:r w:rsidRPr="008D20DC">
              <w:t>arr</w:t>
            </w:r>
            <w:r>
              <w:t>ied</w:t>
            </w:r>
            <w:r w:rsidRPr="008D20DC">
              <w:t xml:space="preserve"> out trials</w:t>
            </w:r>
          </w:p>
          <w:p w:rsidR="004D7273" w:rsidRPr="008D20DC" w:rsidRDefault="004D7273" w:rsidP="004D7273">
            <w:pPr>
              <w:pStyle w:val="NCEAtablebullet"/>
            </w:pPr>
            <w:r>
              <w:t>c</w:t>
            </w:r>
            <w:r w:rsidRPr="008D20DC">
              <w:t>ontrol</w:t>
            </w:r>
            <w:r>
              <w:t>led</w:t>
            </w:r>
            <w:r w:rsidRPr="008D20DC">
              <w:t xml:space="preserve"> significant variables</w:t>
            </w:r>
          </w:p>
          <w:p w:rsidR="004D7273" w:rsidRPr="008D20DC" w:rsidRDefault="004D7273" w:rsidP="004D7273">
            <w:pPr>
              <w:pStyle w:val="NCEAtablebullet"/>
            </w:pPr>
            <w:r>
              <w:t>chosen</w:t>
            </w:r>
            <w:r w:rsidR="003D5899">
              <w:t xml:space="preserve"> </w:t>
            </w:r>
            <w:r w:rsidR="00E02F02">
              <w:t>a valid range of</w:t>
            </w:r>
            <w:r w:rsidRPr="008D20DC">
              <w:t xml:space="preserve"> valu</w:t>
            </w:r>
            <w:r>
              <w:t>es for the independent variable</w:t>
            </w:r>
          </w:p>
          <w:p w:rsidR="004D7273" w:rsidRDefault="004D7273" w:rsidP="004D7273">
            <w:pPr>
              <w:pStyle w:val="NCEAtablebullet"/>
            </w:pPr>
            <w:r>
              <w:t>d</w:t>
            </w:r>
            <w:r w:rsidRPr="008D20DC">
              <w:t>escribe</w:t>
            </w:r>
            <w:r>
              <w:t>d</w:t>
            </w:r>
            <w:r w:rsidRPr="008D20DC">
              <w:t xml:space="preserve"> their method in sufficient detail to enable it to be duplicated </w:t>
            </w:r>
          </w:p>
          <w:p w:rsidR="004D7273" w:rsidRPr="008D20DC" w:rsidRDefault="004D7273" w:rsidP="004D7273">
            <w:pPr>
              <w:pStyle w:val="NCEAtablebullet"/>
            </w:pPr>
            <w:r>
              <w:t xml:space="preserve">standardised standard solution(s) </w:t>
            </w:r>
          </w:p>
          <w:p w:rsidR="004D7273" w:rsidRDefault="004D7273" w:rsidP="004D7273">
            <w:pPr>
              <w:pStyle w:val="NCEAtablebullet"/>
            </w:pPr>
            <w:r>
              <w:t>s</w:t>
            </w:r>
            <w:r w:rsidRPr="008D20DC">
              <w:t>how</w:t>
            </w:r>
            <w:r>
              <w:t>n</w:t>
            </w:r>
            <w:r w:rsidRPr="008D20DC">
              <w:t xml:space="preserve"> the mathematical steps used to process the dat</w:t>
            </w:r>
            <w:r>
              <w:t>a</w:t>
            </w:r>
            <w:r w:rsidRPr="008D20DC">
              <w:t xml:space="preserve"> </w:t>
            </w:r>
          </w:p>
          <w:p w:rsidR="003664B1" w:rsidRPr="008D20DC" w:rsidRDefault="003664B1" w:rsidP="004D7273">
            <w:pPr>
              <w:pStyle w:val="NCEAtablebullet"/>
            </w:pPr>
            <w:r>
              <w:t>a</w:t>
            </w:r>
            <w:r w:rsidRPr="0034385C">
              <w:t>ccurately process</w:t>
            </w:r>
            <w:r>
              <w:t>ed</w:t>
            </w:r>
            <w:r w:rsidRPr="0034385C">
              <w:t xml:space="preserve"> the data</w:t>
            </w:r>
            <w:r>
              <w:t xml:space="preserve"> to reach a valid conclusion</w:t>
            </w:r>
          </w:p>
          <w:p w:rsidR="004D7273" w:rsidRPr="008D20DC" w:rsidRDefault="004D7273" w:rsidP="004D7273">
            <w:pPr>
              <w:pStyle w:val="NCEAtablebullet"/>
            </w:pPr>
            <w:r>
              <w:t>m</w:t>
            </w:r>
            <w:r w:rsidRPr="008D20DC">
              <w:t>a</w:t>
            </w:r>
            <w:r>
              <w:t>de</w:t>
            </w:r>
            <w:r w:rsidRPr="008D20DC">
              <w:t xml:space="preserve"> a valid conclusion relevant to the purpose of the investigation</w:t>
            </w:r>
          </w:p>
          <w:p w:rsidR="004D7273" w:rsidRPr="00BD1A62" w:rsidRDefault="004D7273" w:rsidP="004D7273">
            <w:pPr>
              <w:pStyle w:val="NCEAtablebullet"/>
              <w:rPr>
                <w:lang w:val="en-GB"/>
              </w:rPr>
            </w:pPr>
            <w:r>
              <w:t xml:space="preserve">explained how </w:t>
            </w:r>
            <w:r w:rsidRPr="008D20DC">
              <w:t>the procedure</w:t>
            </w:r>
            <w:r>
              <w:t xml:space="preserve"> used contributed to the collection of quality data.</w:t>
            </w:r>
            <w:r w:rsidRPr="008D20DC">
              <w:t xml:space="preserve"> </w:t>
            </w:r>
          </w:p>
          <w:p w:rsidR="00BD1A62" w:rsidRPr="00255A89" w:rsidRDefault="00BD1A62" w:rsidP="008C15DD">
            <w:pPr>
              <w:pStyle w:val="NCEAtablebody"/>
              <w:rPr>
                <w:lang w:val="en-GB"/>
              </w:rPr>
            </w:pPr>
            <w:r w:rsidRPr="00EE22B3">
              <w:rPr>
                <w:i/>
                <w:color w:val="FF0000"/>
              </w:rPr>
              <w:t>.</w:t>
            </w:r>
          </w:p>
        </w:tc>
        <w:tc>
          <w:tcPr>
            <w:tcW w:w="1667" w:type="pct"/>
          </w:tcPr>
          <w:p w:rsidR="00962E9A" w:rsidRDefault="00962E9A" w:rsidP="00962E9A">
            <w:pPr>
              <w:pStyle w:val="NCEAtablebody"/>
              <w:rPr>
                <w:lang w:val="en-GB"/>
              </w:rPr>
            </w:pPr>
            <w:r w:rsidRPr="00255A89">
              <w:t xml:space="preserve">The student </w:t>
            </w:r>
            <w:r>
              <w:rPr>
                <w:lang w:val="en-GB"/>
              </w:rPr>
              <w:t>c</w:t>
            </w:r>
            <w:r w:rsidRPr="00C7757D">
              <w:rPr>
                <w:lang w:val="en-GB"/>
              </w:rPr>
              <w:t>arr</w:t>
            </w:r>
            <w:r>
              <w:rPr>
                <w:lang w:val="en-GB"/>
              </w:rPr>
              <w:t>ies out a comprehensive</w:t>
            </w:r>
            <w:r w:rsidRPr="00C7757D">
              <w:rPr>
                <w:lang w:val="en-GB"/>
              </w:rPr>
              <w:t xml:space="preserve"> investigation in chemistry involving quantitative analysis</w:t>
            </w:r>
            <w:r>
              <w:rPr>
                <w:lang w:val="en-GB"/>
              </w:rPr>
              <w:t xml:space="preserve">. </w:t>
            </w:r>
          </w:p>
          <w:p w:rsidR="00962E9A" w:rsidRDefault="00962E9A" w:rsidP="00962E9A">
            <w:pPr>
              <w:pStyle w:val="NCEAtablebody"/>
            </w:pPr>
            <w:r>
              <w:rPr>
                <w:lang w:val="en-GB"/>
              </w:rPr>
              <w:t>They do this by</w:t>
            </w:r>
            <w:r w:rsidRPr="00C7757D">
              <w:rPr>
                <w:lang w:val="en-GB"/>
              </w:rPr>
              <w:t xml:space="preserve"> </w:t>
            </w:r>
            <w:r w:rsidRPr="00255A89">
              <w:t>investig</w:t>
            </w:r>
            <w:r>
              <w:t>ating</w:t>
            </w:r>
            <w:r w:rsidRPr="00255A89">
              <w:t xml:space="preserve"> the stability of acid under certain conditions leading to a </w:t>
            </w:r>
            <w:r w:rsidR="00D818A7">
              <w:t xml:space="preserve">comprehensive </w:t>
            </w:r>
            <w:r w:rsidRPr="00255A89">
              <w:t xml:space="preserve">conclusion </w:t>
            </w:r>
          </w:p>
          <w:p w:rsidR="004D7273" w:rsidRPr="00255A89" w:rsidRDefault="004D7273" w:rsidP="00962E9A">
            <w:pPr>
              <w:pStyle w:val="NCEAtablebody"/>
            </w:pPr>
            <w:r w:rsidRPr="00255A89">
              <w:t xml:space="preserve">They </w:t>
            </w:r>
            <w:r>
              <w:t>have kept a</w:t>
            </w:r>
            <w:r w:rsidRPr="00255A89">
              <w:t xml:space="preserve"> logbook and produce</w:t>
            </w:r>
            <w:r>
              <w:t>d</w:t>
            </w:r>
            <w:r w:rsidRPr="00255A89">
              <w:t xml:space="preserve"> a report. </w:t>
            </w:r>
          </w:p>
          <w:p w:rsidR="004D7273" w:rsidRPr="00255A89" w:rsidRDefault="003D5899" w:rsidP="004D7273">
            <w:pPr>
              <w:pStyle w:val="NCEAtablebody"/>
            </w:pPr>
            <w:r>
              <w:t>In their investigation</w:t>
            </w:r>
            <w:r w:rsidR="004D7273">
              <w:t xml:space="preserve"> the student has:</w:t>
            </w:r>
          </w:p>
          <w:p w:rsidR="004D7273" w:rsidRDefault="004D7273" w:rsidP="004D7273">
            <w:pPr>
              <w:pStyle w:val="NCEAtablebullet"/>
            </w:pPr>
            <w:r>
              <w:t>a</w:t>
            </w:r>
            <w:r w:rsidRPr="0034385C">
              <w:t>ccurately process</w:t>
            </w:r>
            <w:r>
              <w:t>ed</w:t>
            </w:r>
            <w:r w:rsidRPr="0034385C">
              <w:t xml:space="preserve"> the data and use</w:t>
            </w:r>
            <w:r>
              <w:t>d</w:t>
            </w:r>
            <w:r w:rsidRPr="0034385C">
              <w:t xml:space="preserve"> appropriate significant figures </w:t>
            </w:r>
          </w:p>
          <w:p w:rsidR="003664B1" w:rsidRPr="0034385C" w:rsidRDefault="003664B1" w:rsidP="004D7273">
            <w:pPr>
              <w:pStyle w:val="NCEAtablebullet"/>
            </w:pPr>
            <w:r>
              <w:t>justified the steps used in the procedure in relation to the reaction(s) and to the nature of the samples being analysed</w:t>
            </w:r>
          </w:p>
          <w:p w:rsidR="004D7273" w:rsidRPr="0034385C" w:rsidRDefault="004D7273" w:rsidP="004D7273">
            <w:pPr>
              <w:pStyle w:val="NCEAtablebullet"/>
            </w:pPr>
            <w:r>
              <w:t xml:space="preserve">justified how the processed data supports the </w:t>
            </w:r>
            <w:r w:rsidRPr="0034385C">
              <w:t>conclusion</w:t>
            </w:r>
            <w:r>
              <w:t>(s)</w:t>
            </w:r>
          </w:p>
          <w:p w:rsidR="004D7273" w:rsidRDefault="004D7273" w:rsidP="004D7273">
            <w:pPr>
              <w:pStyle w:val="NCEAtablebullet"/>
            </w:pPr>
            <w:r>
              <w:t>e</w:t>
            </w:r>
            <w:r w:rsidRPr="0034385C">
              <w:t>valuate</w:t>
            </w:r>
            <w:r>
              <w:t>d</w:t>
            </w:r>
            <w:r w:rsidRPr="0034385C">
              <w:t xml:space="preserve"> the </w:t>
            </w:r>
            <w:r>
              <w:t xml:space="preserve">reliability of the data by considering the </w:t>
            </w:r>
            <w:r w:rsidRPr="0034385C">
              <w:t>procedure used and sources of error</w:t>
            </w:r>
          </w:p>
          <w:p w:rsidR="004D7273" w:rsidRDefault="004D7273" w:rsidP="004D7273">
            <w:pPr>
              <w:pStyle w:val="NCEAtablebullet"/>
            </w:pPr>
            <w:r>
              <w:t xml:space="preserve">linked the conclusion(s) to chemical principles and/or real life applications. </w:t>
            </w:r>
          </w:p>
          <w:p w:rsidR="00BD1A62" w:rsidRPr="00255A89" w:rsidRDefault="00BD1A62" w:rsidP="008C15DD">
            <w:pPr>
              <w:pStyle w:val="NCEAtablebody"/>
            </w:pPr>
            <w:r w:rsidRPr="00EE22B3">
              <w:rPr>
                <w:i/>
                <w:color w:val="FF0000"/>
              </w:rPr>
              <w:t>.</w:t>
            </w:r>
          </w:p>
        </w:tc>
      </w:tr>
    </w:tbl>
    <w:p w:rsidR="004D7273" w:rsidRPr="00255A89" w:rsidRDefault="004D7273" w:rsidP="004D7273">
      <w:pPr>
        <w:pStyle w:val="NCEAbodytext"/>
        <w:rPr>
          <w:lang w:val="en-GB"/>
        </w:rPr>
      </w:pPr>
      <w:r w:rsidRPr="00255A89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sectPr w:rsidR="004D7273" w:rsidRPr="00255A89" w:rsidSect="004D72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53" w:rsidRDefault="00944B53">
      <w:r>
        <w:separator/>
      </w:r>
    </w:p>
  </w:endnote>
  <w:endnote w:type="continuationSeparator" w:id="0">
    <w:p w:rsidR="00944B53" w:rsidRDefault="0094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äori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Pr="00F45ADA" w:rsidRDefault="008C15DD" w:rsidP="004D7273">
    <w:pPr>
      <w:pStyle w:val="NCEAHeaderFooter"/>
    </w:pPr>
    <w:r w:rsidRPr="00F45ADA">
      <w:t>T</w:t>
    </w:r>
    <w:r>
      <w:t xml:space="preserve">his </w:t>
    </w:r>
    <w:r w:rsidRPr="00F45ADA">
      <w:t>re</w:t>
    </w:r>
    <w:r>
      <w:t>source is copyright © Crown 201</w:t>
    </w:r>
    <w:r w:rsidR="00661258">
      <w:t>7</w:t>
    </w:r>
    <w:r w:rsidRPr="00F45ADA">
      <w:tab/>
    </w:r>
    <w:r w:rsidRPr="00F45ADA"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E628FA">
      <w:rPr>
        <w:noProof/>
        <w:lang w:bidi="en-US"/>
      </w:rPr>
      <w:t>2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E628FA">
      <w:rPr>
        <w:noProof/>
        <w:lang w:bidi="en-US"/>
      </w:rPr>
      <w:t>8</w:t>
    </w:r>
    <w:r w:rsidRPr="00F45ADA">
      <w:rPr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Pr="006628D1" w:rsidRDefault="008C15DD" w:rsidP="004D7273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8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Pr="006628D1" w:rsidRDefault="008C15DD" w:rsidP="004D7273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8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Default="008C15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C15DD" w:rsidRDefault="008C15DD">
    <w:pPr>
      <w:pStyle w:val="Footer"/>
      <w:ind w:right="360"/>
    </w:pPr>
  </w:p>
  <w:p w:rsidR="008C15DD" w:rsidRDefault="008C15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Pr="00F45ADA" w:rsidRDefault="008C15DD" w:rsidP="004D7273">
    <w:pPr>
      <w:pStyle w:val="NCEAHeaderFooter"/>
    </w:pPr>
    <w:r w:rsidRPr="00F45ADA">
      <w:t>T</w:t>
    </w:r>
    <w:r>
      <w:t xml:space="preserve">his </w:t>
    </w:r>
    <w:r w:rsidRPr="00F45ADA">
      <w:t>re</w:t>
    </w:r>
    <w:r>
      <w:t>source is copyright © Crown 201</w:t>
    </w:r>
    <w:r w:rsidR="00661258">
      <w:t>7</w:t>
    </w:r>
    <w:r w:rsidRPr="00F45ADA">
      <w:tab/>
    </w:r>
    <w:r>
      <w:tab/>
    </w:r>
    <w:r>
      <w:tab/>
    </w:r>
    <w:r>
      <w:tab/>
    </w:r>
    <w:r>
      <w:tab/>
    </w:r>
    <w:r>
      <w:tab/>
    </w:r>
    <w:r w:rsidRPr="00F45ADA"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E628FA">
      <w:rPr>
        <w:noProof/>
        <w:lang w:bidi="en-US"/>
      </w:rPr>
      <w:t>8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E628FA">
      <w:rPr>
        <w:noProof/>
        <w:lang w:bidi="en-US"/>
      </w:rPr>
      <w:t>8</w:t>
    </w:r>
    <w:r w:rsidRPr="00F45ADA">
      <w:rPr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Default="008C15DD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53" w:rsidRDefault="00944B53">
      <w:r>
        <w:separator/>
      </w:r>
    </w:p>
  </w:footnote>
  <w:footnote w:type="continuationSeparator" w:id="0">
    <w:p w:rsidR="00944B53" w:rsidRDefault="0094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Default="008C15DD" w:rsidP="00B56106">
    <w:pPr>
      <w:pStyle w:val="NCEAHeaderFooter"/>
    </w:pPr>
    <w:r>
      <w:t>Internal assessment resource Chemistry 3.1B</w:t>
    </w:r>
    <w:r w:rsidR="00661258">
      <w:t xml:space="preserve"> v2</w:t>
    </w:r>
    <w:r>
      <w:t xml:space="preserve"> for Achievement Standard 91387</w:t>
    </w:r>
  </w:p>
  <w:p w:rsidR="008C15DD" w:rsidRPr="00FB067D" w:rsidRDefault="008C15DD" w:rsidP="004D7273">
    <w:pPr>
      <w:pStyle w:val="NCEAHeaderFooter"/>
    </w:pPr>
    <w:r w:rsidRPr="00FB067D"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Default="008C15DD" w:rsidP="00B56106">
    <w:pPr>
      <w:pStyle w:val="NCEAHeaderFooter"/>
    </w:pPr>
    <w:r>
      <w:t>Internal assessment resource Chemistry 3.1B</w:t>
    </w:r>
    <w:r w:rsidR="00661258">
      <w:t xml:space="preserve"> v2</w:t>
    </w:r>
    <w:r>
      <w:t xml:space="preserve"> for Achievement Standard 91387</w:t>
    </w:r>
  </w:p>
  <w:p w:rsidR="008C15DD" w:rsidRPr="006628D1" w:rsidRDefault="008C15DD" w:rsidP="004D7273">
    <w:pPr>
      <w:pStyle w:val="NCEAHeaderFooter"/>
    </w:pPr>
    <w:r w:rsidRPr="006628D1">
      <w:t>PAGE FOR STUDENT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Default="008C15DD"/>
  <w:p w:rsidR="008C15DD" w:rsidRDefault="008C15DD"/>
  <w:p w:rsidR="008C15DD" w:rsidRDefault="008C15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Default="008C15DD" w:rsidP="00B56106">
    <w:pPr>
      <w:pStyle w:val="NCEAHeaderFooter"/>
    </w:pPr>
    <w:r>
      <w:t>Internal assessment resource Chemistry 3.1B</w:t>
    </w:r>
    <w:r w:rsidR="00661258">
      <w:t xml:space="preserve"> v2</w:t>
    </w:r>
    <w:r>
      <w:t xml:space="preserve"> for Achievement Standard 91387</w:t>
    </w:r>
  </w:p>
  <w:p w:rsidR="008C15DD" w:rsidRPr="006628D1" w:rsidRDefault="008C15DD">
    <w:pPr>
      <w:pStyle w:val="Header"/>
      <w:rPr>
        <w:color w:val="808080"/>
        <w:sz w:val="20"/>
      </w:rPr>
    </w:pPr>
    <w:r w:rsidRPr="006628D1">
      <w:rPr>
        <w:color w:val="808080"/>
        <w:sz w:val="20"/>
      </w:rPr>
      <w:t>PAGE FOR TEACHER USE</w:t>
    </w:r>
  </w:p>
  <w:p w:rsidR="008C15DD" w:rsidRDefault="008C15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DD" w:rsidRDefault="008C15DD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F48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Palatin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Palatin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11503"/>
    <w:multiLevelType w:val="multilevel"/>
    <w:tmpl w:val="CA82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455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430D6"/>
    <w:multiLevelType w:val="hybridMultilevel"/>
    <w:tmpl w:val="56F0BEBE"/>
    <w:lvl w:ilvl="0" w:tplc="A3DCDA72">
      <w:start w:val="1"/>
      <w:numFmt w:val="bullet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CC9"/>
    <w:multiLevelType w:val="hybridMultilevel"/>
    <w:tmpl w:val="9574E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36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985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E73264"/>
    <w:multiLevelType w:val="hybridMultilevel"/>
    <w:tmpl w:val="C6763C76"/>
    <w:lvl w:ilvl="0" w:tplc="209668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72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0" w15:restartNumberingAfterBreak="0">
    <w:nsid w:val="2FB87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37717F"/>
    <w:multiLevelType w:val="hybridMultilevel"/>
    <w:tmpl w:val="F01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0726"/>
    <w:multiLevelType w:val="hybridMultilevel"/>
    <w:tmpl w:val="D0F87A2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DC7EAC"/>
    <w:multiLevelType w:val="hybridMultilevel"/>
    <w:tmpl w:val="1734A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7ECB"/>
    <w:multiLevelType w:val="hybridMultilevel"/>
    <w:tmpl w:val="1728C62E"/>
    <w:lvl w:ilvl="0" w:tplc="DEEC91D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86C57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4517DC"/>
    <w:multiLevelType w:val="singleLevel"/>
    <w:tmpl w:val="F518488C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705"/>
      </w:pPr>
      <w:rPr>
        <w:rFonts w:hint="default"/>
      </w:rPr>
    </w:lvl>
  </w:abstractNum>
  <w:abstractNum w:abstractNumId="17" w15:restartNumberingAfterBreak="0">
    <w:nsid w:val="3FBF37B4"/>
    <w:multiLevelType w:val="hybridMultilevel"/>
    <w:tmpl w:val="5BBCA35E"/>
    <w:lvl w:ilvl="0" w:tplc="821293A2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 w15:restartNumberingAfterBreak="0">
    <w:nsid w:val="45A93103"/>
    <w:multiLevelType w:val="hybridMultilevel"/>
    <w:tmpl w:val="738C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3C57"/>
    <w:multiLevelType w:val="singleLevel"/>
    <w:tmpl w:val="F518488C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705"/>
      </w:pPr>
      <w:rPr>
        <w:rFonts w:hint="default"/>
      </w:rPr>
    </w:lvl>
  </w:abstractNum>
  <w:abstractNum w:abstractNumId="20" w15:restartNumberingAfterBreak="0">
    <w:nsid w:val="4D004F93"/>
    <w:multiLevelType w:val="multilevel"/>
    <w:tmpl w:val="CA82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F3A1BC7"/>
    <w:multiLevelType w:val="hybridMultilevel"/>
    <w:tmpl w:val="91922F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00E5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6D6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6AB24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132A9F"/>
    <w:multiLevelType w:val="hybridMultilevel"/>
    <w:tmpl w:val="C5861E42"/>
    <w:lvl w:ilvl="0" w:tplc="821293A2">
      <w:start w:val="1"/>
      <w:numFmt w:val="bullet"/>
      <w:lvlText w:val="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26" w15:restartNumberingAfterBreak="0">
    <w:nsid w:val="592B165F"/>
    <w:multiLevelType w:val="hybridMultilevel"/>
    <w:tmpl w:val="663699F4"/>
    <w:lvl w:ilvl="0" w:tplc="C994B820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33BDD"/>
    <w:multiLevelType w:val="hybridMultilevel"/>
    <w:tmpl w:val="9CF85A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492"/>
    <w:multiLevelType w:val="multilevel"/>
    <w:tmpl w:val="657E17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9" w15:restartNumberingAfterBreak="0">
    <w:nsid w:val="5CBF598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235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CC18DE"/>
    <w:multiLevelType w:val="hybridMultilevel"/>
    <w:tmpl w:val="57FA9C3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3101D5F"/>
    <w:multiLevelType w:val="hybridMultilevel"/>
    <w:tmpl w:val="DB725D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18C7"/>
    <w:multiLevelType w:val="hybridMultilevel"/>
    <w:tmpl w:val="79B6A9D4"/>
    <w:lvl w:ilvl="0" w:tplc="A3DCDA7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4" w15:restartNumberingAfterBreak="0">
    <w:nsid w:val="6D7326D6"/>
    <w:multiLevelType w:val="hybridMultilevel"/>
    <w:tmpl w:val="39EECDF0"/>
    <w:lvl w:ilvl="0" w:tplc="A3DCDA72">
      <w:start w:val="1"/>
      <w:numFmt w:val="bullet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1B62C31"/>
    <w:multiLevelType w:val="hybridMultilevel"/>
    <w:tmpl w:val="31504A56"/>
    <w:lvl w:ilvl="0" w:tplc="1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5EE0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3634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4608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14"/>
  </w:num>
  <w:num w:numId="3">
    <w:abstractNumId w:val="9"/>
  </w:num>
  <w:num w:numId="4">
    <w:abstractNumId w:val="26"/>
  </w:num>
  <w:num w:numId="5">
    <w:abstractNumId w:val="11"/>
  </w:num>
  <w:num w:numId="6">
    <w:abstractNumId w:val="31"/>
  </w:num>
  <w:num w:numId="7">
    <w:abstractNumId w:val="23"/>
  </w:num>
  <w:num w:numId="8">
    <w:abstractNumId w:val="30"/>
  </w:num>
  <w:num w:numId="9">
    <w:abstractNumId w:val="10"/>
  </w:num>
  <w:num w:numId="10">
    <w:abstractNumId w:val="37"/>
  </w:num>
  <w:num w:numId="11">
    <w:abstractNumId w:val="2"/>
  </w:num>
  <w:num w:numId="12">
    <w:abstractNumId w:val="5"/>
  </w:num>
  <w:num w:numId="13">
    <w:abstractNumId w:val="39"/>
  </w:num>
  <w:num w:numId="14">
    <w:abstractNumId w:val="6"/>
  </w:num>
  <w:num w:numId="15">
    <w:abstractNumId w:val="15"/>
  </w:num>
  <w:num w:numId="16">
    <w:abstractNumId w:val="29"/>
  </w:num>
  <w:num w:numId="17">
    <w:abstractNumId w:val="38"/>
  </w:num>
  <w:num w:numId="18">
    <w:abstractNumId w:val="34"/>
  </w:num>
  <w:num w:numId="19">
    <w:abstractNumId w:val="3"/>
  </w:num>
  <w:num w:numId="20">
    <w:abstractNumId w:val="33"/>
  </w:num>
  <w:num w:numId="21">
    <w:abstractNumId w:val="7"/>
  </w:num>
  <w:num w:numId="22">
    <w:abstractNumId w:val="21"/>
  </w:num>
  <w:num w:numId="23">
    <w:abstractNumId w:val="16"/>
  </w:num>
  <w:num w:numId="24">
    <w:abstractNumId w:val="19"/>
  </w:num>
  <w:num w:numId="25">
    <w:abstractNumId w:val="24"/>
  </w:num>
  <w:num w:numId="26">
    <w:abstractNumId w:val="22"/>
  </w:num>
  <w:num w:numId="27">
    <w:abstractNumId w:val="25"/>
  </w:num>
  <w:num w:numId="28">
    <w:abstractNumId w:val="36"/>
  </w:num>
  <w:num w:numId="29">
    <w:abstractNumId w:val="28"/>
  </w:num>
  <w:num w:numId="30">
    <w:abstractNumId w:val="17"/>
  </w:num>
  <w:num w:numId="31">
    <w:abstractNumId w:val="8"/>
  </w:num>
  <w:num w:numId="32">
    <w:abstractNumId w:val="4"/>
  </w:num>
  <w:num w:numId="33">
    <w:abstractNumId w:val="12"/>
  </w:num>
  <w:num w:numId="34">
    <w:abstractNumId w:val="27"/>
  </w:num>
  <w:num w:numId="35">
    <w:abstractNumId w:val="32"/>
  </w:num>
  <w:num w:numId="36">
    <w:abstractNumId w:val="13"/>
  </w:num>
  <w:num w:numId="37">
    <w:abstractNumId w:val="0"/>
  </w:num>
  <w:num w:numId="38">
    <w:abstractNumId w:val="1"/>
  </w:num>
  <w:num w:numId="39">
    <w:abstractNumId w:val="20"/>
  </w:num>
  <w:num w:numId="40">
    <w:abstractNumId w:val="14"/>
    <w:lvlOverride w:ilvl="0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7C2"/>
    <w:rsid w:val="00002446"/>
    <w:rsid w:val="000031C7"/>
    <w:rsid w:val="00055C97"/>
    <w:rsid w:val="0006449C"/>
    <w:rsid w:val="000D5421"/>
    <w:rsid w:val="001D7540"/>
    <w:rsid w:val="001E432F"/>
    <w:rsid w:val="0020532A"/>
    <w:rsid w:val="00205AF5"/>
    <w:rsid w:val="00224EB4"/>
    <w:rsid w:val="002347DA"/>
    <w:rsid w:val="00252794"/>
    <w:rsid w:val="0027368F"/>
    <w:rsid w:val="00284E6A"/>
    <w:rsid w:val="002B06CF"/>
    <w:rsid w:val="00333634"/>
    <w:rsid w:val="00340962"/>
    <w:rsid w:val="003664B1"/>
    <w:rsid w:val="003C3B35"/>
    <w:rsid w:val="003D5899"/>
    <w:rsid w:val="003F3FCE"/>
    <w:rsid w:val="004027C2"/>
    <w:rsid w:val="00476166"/>
    <w:rsid w:val="004B09D3"/>
    <w:rsid w:val="004C33AD"/>
    <w:rsid w:val="004D7273"/>
    <w:rsid w:val="005359A7"/>
    <w:rsid w:val="0056549A"/>
    <w:rsid w:val="00570FBC"/>
    <w:rsid w:val="00600D7F"/>
    <w:rsid w:val="00661258"/>
    <w:rsid w:val="006C593D"/>
    <w:rsid w:val="006E172B"/>
    <w:rsid w:val="0071052D"/>
    <w:rsid w:val="0072413A"/>
    <w:rsid w:val="0079779D"/>
    <w:rsid w:val="007F69C9"/>
    <w:rsid w:val="0086106C"/>
    <w:rsid w:val="008954B0"/>
    <w:rsid w:val="008B6BEE"/>
    <w:rsid w:val="008C15DD"/>
    <w:rsid w:val="008C1AEA"/>
    <w:rsid w:val="008C3E21"/>
    <w:rsid w:val="008E7719"/>
    <w:rsid w:val="008F23E6"/>
    <w:rsid w:val="0091792B"/>
    <w:rsid w:val="00940D15"/>
    <w:rsid w:val="00944B53"/>
    <w:rsid w:val="00962E9A"/>
    <w:rsid w:val="009F2B22"/>
    <w:rsid w:val="00A2282F"/>
    <w:rsid w:val="00A3243E"/>
    <w:rsid w:val="00A701DB"/>
    <w:rsid w:val="00AC77F7"/>
    <w:rsid w:val="00AF7A56"/>
    <w:rsid w:val="00B222A0"/>
    <w:rsid w:val="00B30832"/>
    <w:rsid w:val="00B4734B"/>
    <w:rsid w:val="00B56106"/>
    <w:rsid w:val="00B61FE1"/>
    <w:rsid w:val="00BD1A62"/>
    <w:rsid w:val="00C10CD7"/>
    <w:rsid w:val="00C15AFA"/>
    <w:rsid w:val="00C333DB"/>
    <w:rsid w:val="00C7757D"/>
    <w:rsid w:val="00C92FEE"/>
    <w:rsid w:val="00CC7558"/>
    <w:rsid w:val="00D41AA1"/>
    <w:rsid w:val="00D818A7"/>
    <w:rsid w:val="00D9707E"/>
    <w:rsid w:val="00DA1992"/>
    <w:rsid w:val="00DB03CF"/>
    <w:rsid w:val="00DC072B"/>
    <w:rsid w:val="00DE5C1D"/>
    <w:rsid w:val="00E02F02"/>
    <w:rsid w:val="00E16CDD"/>
    <w:rsid w:val="00E22194"/>
    <w:rsid w:val="00E624D2"/>
    <w:rsid w:val="00E628FA"/>
    <w:rsid w:val="00EC707A"/>
    <w:rsid w:val="00EF78B7"/>
    <w:rsid w:val="00F223B1"/>
    <w:rsid w:val="00F261B9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9E32CBF-5B05-8349-B3F1-AA7AC1D0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  <w:lang w:eastAsia="en-NZ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eastAsia="en-NZ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uiPriority w:val="99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F02FD9"/>
    <w:pPr>
      <w:numPr>
        <w:numId w:val="4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562920"/>
    <w:pPr>
      <w:ind w:left="720"/>
    </w:pPr>
    <w:rPr>
      <w:rFonts w:ascii="Arial" w:hAnsi="Arial"/>
      <w:szCs w:val="20"/>
      <w:lang w:eastAsia="en-AU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BodyTextIndentChar">
    <w:name w:val="Body Text Indent Char"/>
    <w:link w:val="BodyTextIndent"/>
    <w:rsid w:val="00562920"/>
    <w:rPr>
      <w:rFonts w:ascii="Arial" w:hAnsi="Arial"/>
      <w:sz w:val="24"/>
      <w:lang w:val="en-GB" w:eastAsia="en-AU"/>
    </w:rPr>
  </w:style>
  <w:style w:type="paragraph" w:styleId="BodyText">
    <w:name w:val="Body Text"/>
    <w:basedOn w:val="Normal"/>
    <w:link w:val="BodyTextChar"/>
    <w:rsid w:val="00562920"/>
    <w:rPr>
      <w:rFonts w:ascii="Arial" w:hAnsi="Arial"/>
      <w:b/>
      <w:szCs w:val="20"/>
      <w:lang w:val="en-NZ" w:eastAsia="en-AU"/>
    </w:rPr>
  </w:style>
  <w:style w:type="character" w:customStyle="1" w:styleId="BodyTextChar">
    <w:name w:val="Body Text Char"/>
    <w:link w:val="BodyText"/>
    <w:rsid w:val="00562920"/>
    <w:rPr>
      <w:rFonts w:ascii="Arial" w:hAnsi="Arial"/>
      <w:b/>
      <w:sz w:val="24"/>
      <w:lang w:val="en-NZ" w:eastAsia="en-AU"/>
    </w:rPr>
  </w:style>
  <w:style w:type="paragraph" w:styleId="BodyTextIndent3">
    <w:name w:val="Body Text Indent 3"/>
    <w:basedOn w:val="Normal"/>
    <w:link w:val="BodyTextIndent3Char"/>
    <w:rsid w:val="005400E0"/>
    <w:pPr>
      <w:spacing w:after="120"/>
      <w:ind w:left="283"/>
    </w:pPr>
    <w:rPr>
      <w:sz w:val="16"/>
      <w:szCs w:val="16"/>
      <w:lang w:val="en-AU" w:eastAsia="en-AU"/>
    </w:rPr>
  </w:style>
  <w:style w:type="character" w:customStyle="1" w:styleId="BodyTextIndent3Char">
    <w:name w:val="Body Text Indent 3 Char"/>
    <w:link w:val="BodyTextIndent3"/>
    <w:rsid w:val="005400E0"/>
    <w:rPr>
      <w:sz w:val="16"/>
      <w:szCs w:val="16"/>
      <w:lang w:val="en-AU" w:eastAsia="en-AU"/>
    </w:rPr>
  </w:style>
  <w:style w:type="paragraph" w:styleId="BodyTextIndent2">
    <w:name w:val="Body Text Indent 2"/>
    <w:basedOn w:val="Normal"/>
    <w:link w:val="BodyTextIndent2Char"/>
    <w:rsid w:val="005400E0"/>
    <w:pPr>
      <w:spacing w:after="120" w:line="480" w:lineRule="auto"/>
      <w:ind w:left="283"/>
    </w:pPr>
    <w:rPr>
      <w:szCs w:val="20"/>
      <w:lang w:val="en-AU" w:eastAsia="en-AU"/>
    </w:rPr>
  </w:style>
  <w:style w:type="character" w:customStyle="1" w:styleId="BodyTextIndent2Char">
    <w:name w:val="Body Text Indent 2 Char"/>
    <w:link w:val="BodyTextIndent2"/>
    <w:rsid w:val="005400E0"/>
    <w:rPr>
      <w:sz w:val="24"/>
      <w:lang w:val="en-AU" w:eastAsia="en-AU"/>
    </w:rPr>
  </w:style>
  <w:style w:type="character" w:styleId="CommentReference">
    <w:name w:val="annotation reference"/>
    <w:rsid w:val="002B4E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2B4EF2"/>
    <w:rPr>
      <w:lang w:eastAsia="x-none"/>
    </w:rPr>
  </w:style>
  <w:style w:type="character" w:customStyle="1" w:styleId="CommentTextChar">
    <w:name w:val="Comment Text Char"/>
    <w:link w:val="CommentText"/>
    <w:rsid w:val="002B4EF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B4EF2"/>
    <w:rPr>
      <w:b/>
      <w:bCs/>
    </w:rPr>
  </w:style>
  <w:style w:type="character" w:customStyle="1" w:styleId="CommentSubjectChar">
    <w:name w:val="Comment Subject Char"/>
    <w:link w:val="CommentSubject"/>
    <w:rsid w:val="002B4EF2"/>
    <w:rPr>
      <w:b/>
      <w:bCs/>
      <w:sz w:val="24"/>
      <w:szCs w:val="24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0E7270"/>
    <w:rPr>
      <w:sz w:val="24"/>
      <w:szCs w:val="24"/>
      <w:lang w:val="en-GB"/>
    </w:rPr>
  </w:style>
  <w:style w:type="character" w:customStyle="1" w:styleId="WW8Num3z0">
    <w:name w:val="WW8Num3z0"/>
    <w:rsid w:val="00AF7A56"/>
    <w:rPr>
      <w:rFonts w:ascii="Symbol" w:hAnsi="Symbol"/>
    </w:rPr>
  </w:style>
  <w:style w:type="paragraph" w:customStyle="1" w:styleId="NCEACPHeading1">
    <w:name w:val="NCEA CP Heading 1"/>
    <w:basedOn w:val="Normal"/>
    <w:rsid w:val="00AF7A56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AF7A56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AF7A56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AF7A56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AF7A56"/>
    <w:rPr>
      <w:b/>
    </w:rPr>
  </w:style>
  <w:style w:type="paragraph" w:customStyle="1" w:styleId="NCEACPbodytextleft">
    <w:name w:val="NCEA CP bodytext left"/>
    <w:basedOn w:val="Normal"/>
    <w:rsid w:val="00AF7A56"/>
    <w:pPr>
      <w:spacing w:before="120" w:after="1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-forster.com/Attachments/Aspirin/Aspirin%20Synt%20&amp;%20Beer-Lambert.pdf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chemteach.ac.nz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Chemistry internal assessment resource</vt:lpstr>
    </vt:vector>
  </TitlesOfParts>
  <Manager/>
  <Company>Ministry of Education</Company>
  <LinksUpToDate>false</LinksUpToDate>
  <CharactersWithSpaces>12719</CharactersWithSpaces>
  <SharedDoc>false</SharedDoc>
  <HyperlinkBase/>
  <HLinks>
    <vt:vector size="12" baseType="variant">
      <vt:variant>
        <vt:i4>5046300</vt:i4>
      </vt:variant>
      <vt:variant>
        <vt:i4>3</vt:i4>
      </vt:variant>
      <vt:variant>
        <vt:i4>0</vt:i4>
      </vt:variant>
      <vt:variant>
        <vt:i4>5</vt:i4>
      </vt:variant>
      <vt:variant>
        <vt:lpwstr>http://www.p-forster.com/Attachments/Aspirin/Aspirin Synt &amp; Beer-Lambert.pdf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http://www.chemteach.ac.nz/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Chemistry internal assessment resource</dc:title>
  <dc:subject>Chemistry 3.1B</dc:subject>
  <dc:creator>Ministry of Education</dc:creator>
  <cp:keywords/>
  <cp:lastModifiedBy>Brenda Crozier</cp:lastModifiedBy>
  <cp:revision>2</cp:revision>
  <cp:lastPrinted>2012-11-21T01:37:00Z</cp:lastPrinted>
  <dcterms:created xsi:type="dcterms:W3CDTF">2019-11-29T02:47:00Z</dcterms:created>
  <dcterms:modified xsi:type="dcterms:W3CDTF">2019-11-29T02:47:00Z</dcterms:modified>
  <cp:category/>
</cp:coreProperties>
</file>